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mlf crates 14 模块编译性能诊断</w:t>
      </w:r>
    </w:p>
    <w:p>
      <w:pPr>
        <w:pStyle w:val="Subtitle"/>
      </w:pPr>
      <w:r>
        <w:t>优化前基线与第一项优化决策</w:t>
      </w:r>
    </w:p>
    <w:p>
      <w:r>
        <w:t>2026 年 10 月 26 日  |  PR25 aa11ffd 与已批准本地修复</w:t>
      </w:r>
    </w:p>
    <w:p>
      <w:pPr>
        <w:pStyle w:val="Heading1"/>
      </w:pPr>
      <w:r>
        <w:t>结论</w:t>
      </w:r>
    </w:p>
    <w:p>
      <w:r>
        <w:t>同一批 14 个源模块、依赖已编译并复用、目标推断缓存全冷时，普通 MLF 编译中位数为 163.896307032 s；GHC 9.14.1 plain -O2 的中位数为 9.047647972 s。当前比例为 18.114797 倍，尚未达到不超过 3 倍的目标。达标阈值是 27.142943916 s，意味着还需约 6.04 倍加速，减少约 83.44% 的普通 wall time。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2736"/>
        <w:gridCol w:w="3600"/>
      </w:tblGrid>
      <w:tr>
        <w:trPr>
          <w:cantSplit/>
          <w:tblHeader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主要指标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结果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解释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普通 MLF 中位数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163.896307032 s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3 次独立进程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GHC plain -O2 中位数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9.047647972 s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同一 14 模块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MLF 与 GHC 比例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18.114797 倍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目标不超过 3 倍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每次目标推断</w:t>
            </w:r>
          </w:p>
        </w:tc>
        <w:tc>
          <w:tcPr>
            <w:tcW w:type="dxa" w:w="273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544 fresh / 0 reused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20"/>
              </w:rPr>
              <w:t>不是缓存命中跑分</w:t>
            </w:r>
          </w:p>
        </w:tc>
      </w:tr>
    </w:tbl>
    <w:p>
      <w:pPr>
        <w:pStyle w:val="Heading2"/>
        <w:spacing w:before="140"/>
      </w:pPr>
      <w:r>
        <w:t>第一项优化应从命名空间成员选择开始</w:t>
      </w:r>
    </w:p>
    <w:p>
      <w:r>
        <w:t>late cost-centre profile 中，Bootstrap.Module 的 partialSelectItem 与 selectType 在四个互不重叠的 CCS 上下文中占 38.4513% sampled CPU、44.0067% profiled allocation。直接归属于这些选择器的 Map 分配为 127.280 GB，占全部 Map-exclusive 分配的 71.4565%。主要 Map 热点不能简单归因于 solver。</w:t>
      </w:r>
    </w:p>
    <w:p>
      <w:r>
        <w:t>建议先测 parent filter before union：先按父实体筛选成员，再 union 与去重，避免每个成员选择都构造完整 visible interface。必须保持实体排序、alias 去重、成员可见性、歧义与缺失名称错误、循环导出 fixed point、Abstract 成员惰性和全部独立检查。此处是有证据的候选，不是已验证收益。</w:t>
      </w:r>
    </w:p>
    <w:p>
      <w:r>
        <w:t>本报告在任何性能优化代码修改之前形成。forced phase wall 与 late CPU profile 用于定位，不用来替代普通基线。GHC 输出优化后的 native objects，而 MLF 输出经独立检查的 xMLF crate 并写入 query cache；两者完成的产品不同。</w:t>
      </w:r>
    </w:p>
    <w:p>
      <w:r>
        <w:rPr>
          <w:sz w:val="18"/>
        </w:rPr>
        <w:t>阅读顺序：第 1 至 2 节界定基线与诊断扰动；第 3 至 7 节解释热点和验证门槛；附录给出阶段数值和复现证据。GB 为十进制 10^9 bytes，MiB 为 2^20 bytes。</w:t>
      </w:r>
    </w:p>
    <w:p>
      <w:pPr>
        <w:pStyle w:val="Heading1"/>
        <w:pageBreakBefore/>
      </w:pPr>
      <w:r>
        <w:t>1 比较范围与普通基线</w:t>
      </w:r>
    </w:p>
    <w:p>
      <w:r>
        <w:t>计时从新子进程启动到退出。准备依赖、复制输入、哈希校验和 benchmark harness 的前后检查不计入编译 wall time；编译进程内必要的解析、推断、检查与目标输出计入。没有执行完整 74 模块 native bootstrap，本报告也不作该范围的性能或语义结论。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58"/>
        <w:gridCol w:w="1958"/>
        <w:gridCol w:w="1958"/>
        <w:gridCol w:w="1973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195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第 1 次 s</w:t>
            </w:r>
          </w:p>
        </w:tc>
        <w:tc>
          <w:tcPr>
            <w:tcW w:type="dxa" w:w="195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第 2 次 s</w:t>
            </w:r>
          </w:p>
        </w:tc>
        <w:tc>
          <w:tcPr>
            <w:tcW w:type="dxa" w:w="195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第 3 次 s</w:t>
            </w:r>
          </w:p>
        </w:tc>
        <w:tc>
          <w:tcPr>
            <w:tcW w:type="dxa" w:w="1973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中位数 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MLF 普通</w:t>
            </w:r>
          </w:p>
        </w:tc>
        <w:tc>
          <w:tcPr>
            <w:tcW w:type="dxa" w:w="195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170.168008194</w:t>
            </w:r>
          </w:p>
        </w:tc>
        <w:tc>
          <w:tcPr>
            <w:tcW w:type="dxa" w:w="195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163.896307032</w:t>
            </w:r>
          </w:p>
        </w:tc>
        <w:tc>
          <w:tcPr>
            <w:tcW w:type="dxa" w:w="195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163.331291426</w:t>
            </w:r>
          </w:p>
        </w:tc>
        <w:tc>
          <w:tcPr>
            <w:tcW w:type="dxa" w:w="1973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163.896307032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GHC plain -O2</w:t>
            </w:r>
          </w:p>
        </w:tc>
        <w:tc>
          <w:tcPr>
            <w:tcW w:type="dxa" w:w="195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9.047647972</w:t>
            </w:r>
          </w:p>
        </w:tc>
        <w:tc>
          <w:tcPr>
            <w:tcW w:type="dxa" w:w="195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9.532567807</w:t>
            </w:r>
          </w:p>
        </w:tc>
        <w:tc>
          <w:tcPr>
            <w:tcW w:type="dxa" w:w="195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8.453523167</w:t>
            </w:r>
          </w:p>
        </w:tc>
        <w:tc>
          <w:tcPr>
            <w:tcW w:type="dxa" w:w="1973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9.047647972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GHC repo flags</w:t>
            </w:r>
          </w:p>
        </w:tc>
        <w:tc>
          <w:tcPr>
            <w:tcW w:type="dxa" w:w="195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8.268046811</w:t>
            </w:r>
          </w:p>
        </w:tc>
        <w:tc>
          <w:tcPr>
            <w:tcW w:type="dxa" w:w="195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8.936828866</w:t>
            </w:r>
          </w:p>
        </w:tc>
        <w:tc>
          <w:tcPr>
            <w:tcW w:type="dxa" w:w="195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8.847117296</w:t>
            </w:r>
          </w:p>
        </w:tc>
        <w:tc>
          <w:tcPr>
            <w:tcW w:type="dxa" w:w="1973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8.847117296</w:t>
            </w:r>
          </w:p>
        </w:tc>
      </w:tr>
    </w:tbl>
    <w:p>
      <w:pPr>
        <w:spacing w:before="140"/>
      </w:pPr>
      <w:r>
        <w:t>主比较必须使用 plain -O2。repo flags 额外包含 -fpedantic-bottoms -fno-state-hack，仅作为独立敏感性对照，其 8.847117296 s 不能冒充 plain 基线。早期 baseline-summary.json 记录的是该对照；最终主口径在 baseline-final-summary.json 与三份 baseline-plain-ghc receipt 中。</w:t>
      </w:r>
    </w:p>
    <w:p>
      <w:pPr>
        <w:pStyle w:val="Heading2"/>
      </w:pPr>
      <w:r>
        <w:t>控制条件</w:t>
      </w:r>
    </w:p>
    <w:p>
      <w:r>
        <w:t>GHC 命令核心为 --make -no-link -j1 -O2 -XHaskell2010，固定 package db、显式 package 和 source roots；plain 依赖也用匹配的 plain flags 预编译后复用。MLF producer 按仓库的 -O2 与 demand-preserving flags 构建，运行 --compile-crate，使用全新的目标 queries 目录，复用冻结的依赖 crate 与 Prelude。</w:t>
      </w:r>
    </w:p>
    <w:p>
      <w:r>
        <w:t>共同环境固定 GHC_ENVIRONMENT=-、LC_ALL=C.UTF-8、OMP_NUM_THREADS=1、OPENBLAS_NUM_THREADS=1、MAKEFLAGS=-j1；普通样本 GHCRTS 为空。任务控制的重负载串行运行，但没有 CPU affinity 或独占物理宿主保证。OS cache 未清空；这里的 cold 指目标推断结果全冷，不是冷页缓存。</w:t>
      </w:r>
    </w:p>
    <w:p>
      <w:r>
        <w:t>宿主快照为 Linux 6.18.55 x86_64、AMD EPYC 9V74，约 9.7 GiB 物理内存、无 swap。cgroup 控制未挂载，额外的宿主资源 cap 未知。资源守护上限为单进程 6 GiB address space、进程树 5 GiB RSS；宿主可用内存下限 3 GiB、磁盘余量下限 4 GiB、输出增长上限 8 GiB、wall 上限 6 小时。</w:t>
      </w:r>
    </w:p>
    <w:p>
      <w:pPr>
        <w:pStyle w:val="Heading2"/>
      </w:pPr>
      <w:r>
        <w:t>统计范围</w:t>
      </w:r>
    </w:p>
    <w:p>
      <w:r>
        <w:t>每组 3 个样本只描述当前宿主。MLF 范围为 163.331291426–170.168008194 s，MAD 为 0.565015606 s；plain GHC 范围为 8.453523167–9.532567807 s。没有据此建立置信区间或跨机器推广。历史 128.58 s / 5.67 s 的命令与 revision 未独立核验，未合并入基线。</w:t>
      </w:r>
    </w:p>
    <w:p>
      <w:r>
        <w:rPr>
          <w:sz w:val="18"/>
        </w:rPr>
        <w:t>第 1 次 MLF 普通样本早于 CPU/rusage 仪表加入，CPU 数据缺失，未回填估算；其输入、544/0 计数和产物字节一致性已独立后验核对。</w:t>
      </w:r>
    </w:p>
    <w:p>
      <w:pPr>
        <w:pStyle w:val="Heading1"/>
        <w:pageBreakBefore/>
      </w:pPr>
      <w:r>
        <w:t>2 测量口径与诊断扰动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088"/>
        <w:gridCol w:w="1944"/>
        <w:gridCol w:w="3168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测量</w:t>
            </w:r>
          </w:p>
        </w:tc>
        <w:tc>
          <w:tcPr>
            <w:tcW w:type="dxa" w:w="208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进程 wall s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相对普通 MLF</w:t>
            </w:r>
          </w:p>
        </w:tc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允许的解释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普通 MLF 中位数</w:t>
            </w:r>
          </w:p>
        </w:tc>
        <w:tc>
          <w:tcPr>
            <w:tcW w:type="dxa" w:w="208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163.896307032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1.000000</w:t>
            </w:r>
          </w:p>
        </w:tc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是否达标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普通实现加 RTS stats</w:t>
            </w:r>
          </w:p>
        </w:tc>
        <w:tc>
          <w:tcPr>
            <w:tcW w:type="dxa" w:w="208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163.412719949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0.997049</w:t>
            </w:r>
          </w:p>
        </w:tc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整体 GC 与 allocation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selected-output forced</w:t>
            </w:r>
          </w:p>
        </w:tc>
        <w:tc>
          <w:tcPr>
            <w:tcW w:type="dxa" w:w="208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197.156816802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1.202936</w:t>
            </w:r>
          </w:p>
        </w:tc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诊断性阶段 wall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late cost-centre</w:t>
            </w:r>
          </w:p>
        </w:tc>
        <w:tc>
          <w:tcPr>
            <w:tcW w:type="dxa" w:w="208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349.293843396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2.131188</w:t>
            </w:r>
          </w:p>
        </w:tc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sampled CPU 与 allocation</w:t>
            </w:r>
          </w:p>
        </w:tc>
      </w:tr>
    </w:tbl>
    <w:p>
      <w:pPr>
        <w:spacing w:before="140"/>
      </w:pPr>
      <w:r>
        <w:t>普通 RTS 版本保留 qualified producer 的 250 个非 Main .hi/.o 文件且逐字节相同，只重建 Main wrapper 并重新链接启用 RTS options。单次 wall 比普通中位数低约 0.30%，落在观察到的噪声尺度内，不能宣称统计功能带来负开销。late profile 与 forced profile 则明显改变执行成本，不能用一个总倍率校正各阶段。</w:t>
      </w:r>
    </w:p>
    <w:p>
      <w:pPr>
        <w:pStyle w:val="Heading2"/>
      </w:pPr>
      <w:r>
        <w:t>普通与 forced 的 RTS 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952"/>
        <w:gridCol w:w="2952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RTS 指标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普通实现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forced 诊断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allocated bytes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432,025,763,688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455,360,043,208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copied during GC bytes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15,427,911,136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15,532,515,824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max residency bytes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61,927,160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1,738,370,216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major GC residency 样本数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146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43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GC elapsed s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17.048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20.801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MUT elapsed s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146.353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176.234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RTS total elapsed s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163.401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197.036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采样进程树峰值 RSS bytes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245,940,224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4,074,078,208</w:t>
            </w:r>
          </w:p>
        </w:tc>
      </w:tr>
    </w:tbl>
    <w:p>
      <w:pPr>
        <w:spacing w:before="140"/>
      </w:pPr>
      <w:r>
        <w:t>RTS 时间按输出精度取整，process wall 则来自纳秒单调时钟；两者边界不同，不强行相等。普通 RTS 的 GC CPU 为 17.054 s，MUT CPU 为 141.144 s，total CPU 为 158.200 s。该进程的 gen0 / gen1 收集次数为 101,071 / 146。</w:t>
      </w:r>
    </w:p>
    <w:p>
      <w:r>
        <w:t>forced forcing 增大存活数据与内存占用，改变惰性求值、保留和 GC。forced 最大 residency 约 1.738 GB、进程树 RSS 约 4.074 GB；普通进程树 RSS 约 235 MiB。allocation 是累计分配，不是常驻内存；max residency 是 GC 观察，RSS 是另一种指标。</w:t>
      </w:r>
    </w:p>
    <w:p>
      <w:r>
        <w:rPr>
          <w:sz w:val="18"/>
        </w:rPr>
        <w:t>GC 是 wall time 内的正交 overlay，不能再作为阶段加总。尤其不能从 forced 阶段减去 forced-again 就宣称恢复了普通阶段时间。</w:t>
      </w:r>
    </w:p>
    <w:p>
      <w:pPr>
        <w:pStyle w:val="Heading1"/>
        <w:pageBreakBefore/>
      </w:pPr>
      <w:r>
        <w:t>3 Forced 阶段显示工作落在哪里</w:t>
      </w:r>
    </w:p>
    <w:p>
      <w:r>
        <w:t>本节全部秒数属于 selected-output forced diagnostic，不是普通编译阶段 wall。24,057 个区间完成且 root 状态为 ok；每个 exclusive 等于本体区间减去直接子区间，本体边界和子 helper 开销留在父级 exclusive。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864"/>
        <w:gridCol w:w="2160"/>
        <w:gridCol w:w="2160"/>
      </w:tblGrid>
      <w:tr>
        <w:trPr>
          <w:cantSplit/>
          <w:tblHeader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阶段标签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次数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exclusive s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inclusive 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module.resolve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51.682579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51.682579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solver.final.steps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27.617739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27.617739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cache.write-publish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23.019530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28.157812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crate.assemble-validate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12.222364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17.667391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constraints.generate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10.848724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10.987884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source.group.prepare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9.222663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9.222663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inference.fragment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6.381214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70.993421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query.source-key.encode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5.893905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5.893905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artifact.payload.encode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5.714784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5.714784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solver.final.finish-normalize-audit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5.509135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5.509135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query.cache.encode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5.137714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5.137714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solver.final.prepare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4.472120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4.472120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solver.final.unify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4.394807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4.394807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elaboration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4.231124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4.231124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source.group.finalize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4.169669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4.169669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check.compiler-core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1.854178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1.854178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evidence.resolve</w:t>
            </w:r>
          </w:p>
        </w:tc>
        <w:tc>
          <w:tcPr>
            <w:tcW w:type="dxa" w:w="8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1.699460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1.699460</w:t>
            </w:r>
          </w:p>
        </w:tc>
      </w:tr>
    </w:tbl>
    <w:p>
      <w:pPr>
        <w:spacing w:before="140"/>
      </w:pPr>
      <w:r>
        <w:t>全体 exclusive 精确合计 195.464745170 s，与 diagnostic-total root 完全一致。进程总 wall 197.156816802 s = root 195.464745170 s + root 外残差 1.692071632 s；残差覆盖初始化、未纳入 root 的工作和缓冲输出等，不能全部命名为某一个阶段。</w:t>
      </w:r>
    </w:p>
    <w:p>
      <w:r>
        <w:t>solver.final 的 inclusive 为 42.628325615 s；inference.fragment 的 inclusive 为 70.993421047 s。它们已包含子工作，因此不能把这些 inclusive 与表中的子阶段再次相加。按标签累计次数也不等于源码函数调用次数。</w:t>
      </w:r>
    </w:p>
    <w:p>
      <w:r>
        <w:rPr>
          <w:sz w:val="18"/>
        </w:rPr>
        <w:t>完整非重复标签按流水线列在附录；完整逐事件记录保留在 runs/profile-forced-1/phases.jsonl，不在正文复制数万行。</w:t>
      </w:r>
    </w:p>
    <w:p>
      <w:pPr>
        <w:pStyle w:val="Heading1"/>
        <w:pageBreakBefore/>
      </w:pPr>
      <w:r>
        <w:t>4 复合阶段不能按名字直接下结论</w:t>
      </w:r>
    </w:p>
    <w:p>
      <w:pPr>
        <w:pStyle w:val="Heading2"/>
      </w:pPr>
      <w:r>
        <w:t>module resolve 包含命名空间与导出工作</w:t>
      </w:r>
    </w:p>
    <w:p>
      <w:r>
        <w:t>module.resolve 的 51.682578694 s 是强制 resolved crate 结果的复合区间，覆盖 module resolution、导入导出环境与 fixed-point 导出处理等被该结果 demand 的工作。late CCS 独立证实大量 selector 成本落在 settleExports 和 exportsFor 路径；两种证据相互解释，但不能把 sampled CPU shares 换算为这里的 wall 秒数。</w:t>
      </w:r>
    </w:p>
    <w:p>
      <w:pPr>
        <w:pStyle w:val="Heading2"/>
      </w:pPr>
      <w:r>
        <w:t>cache write publish 不只是文件写入</w:t>
      </w:r>
    </w:p>
    <w:p>
      <w:r>
        <w:t>cache.write-publish 的 exclusive 为 23.019529905 s，inclusive 为 28.157811578 s。嵌套 query.cache.encode 的 5.137713778 s 已单独记账并从父 exclusive 扣除。父级还包含 writeFile、参数与 UTF-8 处理，以及外部 /bin/mv 的 fork、exec、wait。runtime/mlf_system.h 的 os_runProcess 使用 10 ms polling；不是 supervisor 的 5 ms loop。</w:t>
      </w:r>
    </w:p>
    <w:p>
      <w:r>
        <w:t>forced 版本的大 heap 可能放大 fork 成本，所以这不是“普通缓存写入要 23 秒”的证据。既不能把该标签全部归为磁盘吞吐，也不能把 fixed polling interval 乘以 544 当作已经测出的实际等待总量。需要后续在普通实现中拆分发布路径，才能判断优化空间。</w:t>
      </w:r>
    </w:p>
    <w:p>
      <w:pPr>
        <w:pStyle w:val="Heading2"/>
      </w:pPr>
      <w:r>
        <w:t>crate assemble validate 不等于独立 checker</w:t>
      </w:r>
    </w:p>
    <w:p>
      <w:r>
        <w:t>crate.assemble-validate 的 exclusive 为 12.222363884 s，inclusive 为 17.667390839 s。它包括最终 resolvedExports 再次执行 exportsFor、exports 去重、依赖 semantic hash、layout / reachability / bindings / protection、makeObject 与 validateInterface，以及所选 CrateObject 和 QueryReport 的 deep force。延迟的 GroupResult semantic hash 也可在这里被 demand。</w:t>
      </w:r>
    </w:p>
    <w:p>
      <w:r>
        <w:t>嵌套 payload fingerprint 与 encode 的 5.445025443 s 已从此父 exclusive 扣除。把剩余 12.222 s 叫作“类型检查器成本”会误导优化。late profile 中可识别的独立 checker 根只有约 1.55% sampled CPU；它不是当前首要目标，也不授权减弱检查。</w:t>
      </w:r>
    </w:p>
    <w:p>
      <w:pPr>
        <w:pStyle w:val="Heading2"/>
      </w:pPr>
      <w:r>
        <w:t>forcing 边界已检查 但不承诺普通求值顺序</w:t>
      </w:r>
    </w:p>
    <w:p>
      <w:r>
        <w:t>PhaseSelfTest、ForceSelfTest 与区间解析控制均通过；optimized Core 中 opaque purePhase / purePhaseOnce 的 value 参数在 helper 边界保持 lazy，forceAction 在 IO 中执行所选 forcing。该证据检查 helper 优化行为，不是对所有 callsite 普通 demand 的普遍证明。强制指定输出本来就会改变 demand 和 retention。</w:t>
      </w:r>
    </w:p>
    <w:p>
      <w:r>
        <w:t>具体 demand 边界也已逐处复核：Constraint 的 incremental 输入 graph 在 prepare 外强制，费用归 constraints.generate；SourcePlan 只 force 选定输出，不触碰未使用的 legacy lowering；TypeContext memo 的 demand 仍留在 evidence / elaboration；String forcing 不强制 lazy index；solver 跳过未使用的 ScopeIndex jump memo。这些是诊断边界约束，不是普通求值顺序的等价证明。</w:t>
      </w:r>
    </w:p>
    <w:p>
      <w:r>
        <w:rPr>
          <w:sz w:val="18"/>
        </w:rPr>
        <w:t>原始 RTS before/after snapshot 可用于审计，但 GC 更新的计数器不能当成精确 per-phase allocation 或 phase-end retained heap。</w:t>
      </w:r>
    </w:p>
    <w:p>
      <w:pPr>
        <w:pStyle w:val="Heading1"/>
        <w:pageBreakBefore/>
      </w:pPr>
      <w:r>
        <w:t>5 Late CPU profile 指向的实际热点</w:t>
      </w:r>
    </w:p>
    <w:p>
      <w:r>
        <w:t>完整解析 81,682 个最终 CCS 行；exclusive 整数总和精确等于 318,156 ticks 与 431,827,326,224 allocated bytes。实际 header 为 1,000 µs/tick；-i0.005 是 heap profiling interval 参数，不是 time-profiler tick 请求，不能据此换算 CPU 样本。20 个 flat exact 行和全部 inherited 百分比在输出舍入范围内对得上。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1584"/>
        <w:gridCol w:w="1656"/>
        <w:gridCol w:w="1872"/>
        <w:gridCol w:w="1728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区域</w:t>
            </w:r>
          </w:p>
        </w:tc>
        <w:tc>
          <w:tcPr>
            <w:tcW w:type="dxa" w:w="15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exact ticks</w:t>
            </w:r>
          </w:p>
        </w:tc>
        <w:tc>
          <w:tcPr>
            <w:tcW w:type="dxa" w:w="16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CPU share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allocation GB</w:t>
            </w:r>
          </w:p>
        </w:tc>
        <w:tc>
          <w:tcPr>
            <w:tcW w:type="dxa" w:w="172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alloc share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成员选择器并集</w:t>
            </w:r>
          </w:p>
        </w:tc>
        <w:tc>
          <w:tcPr>
            <w:tcW w:type="dxa" w:w="15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122,335</w:t>
            </w:r>
          </w:p>
        </w:tc>
        <w:tc>
          <w:tcPr>
            <w:tcW w:type="dxa" w:w="16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38.4513%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190.033</w:t>
            </w:r>
          </w:p>
        </w:tc>
        <w:tc>
          <w:tcPr>
            <w:tcW w:type="dxa" w:w="172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44.0067%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final solver</w:t>
            </w:r>
          </w:p>
        </w:tc>
        <w:tc>
          <w:tcPr>
            <w:tcW w:type="dxa" w:w="15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76,462</w:t>
            </w:r>
          </w:p>
        </w:tc>
        <w:tc>
          <w:tcPr>
            <w:tcW w:type="dxa" w:w="16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24.0329%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75.689</w:t>
            </w:r>
          </w:p>
        </w:tc>
        <w:tc>
          <w:tcPr>
            <w:tcW w:type="dxa" w:w="172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17.5276%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fingerprint 根</w:t>
            </w:r>
          </w:p>
        </w:tc>
        <w:tc>
          <w:tcPr>
            <w:tcW w:type="dxa" w:w="15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36,344</w:t>
            </w:r>
          </w:p>
        </w:tc>
        <w:tc>
          <w:tcPr>
            <w:tcW w:type="dxa" w:w="16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11.4233%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55.591</w:t>
            </w:r>
          </w:p>
        </w:tc>
        <w:tc>
          <w:tcPr>
            <w:tcW w:type="dxa" w:w="172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12.8735%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依赖 closure 加载</w:t>
            </w:r>
          </w:p>
        </w:tc>
        <w:tc>
          <w:tcPr>
            <w:tcW w:type="dxa" w:w="15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7,481</w:t>
            </w:r>
          </w:p>
        </w:tc>
        <w:tc>
          <w:tcPr>
            <w:tcW w:type="dxa" w:w="16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2.3514%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12.525</w:t>
            </w:r>
          </w:p>
        </w:tc>
        <w:tc>
          <w:tcPr>
            <w:tcW w:type="dxa" w:w="172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2.9004%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独立 checker 可见根</w:t>
            </w:r>
          </w:p>
        </w:tc>
        <w:tc>
          <w:tcPr>
            <w:tcW w:type="dxa" w:w="15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4,945</w:t>
            </w:r>
          </w:p>
        </w:tc>
        <w:tc>
          <w:tcPr>
            <w:tcW w:type="dxa" w:w="16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1.5543%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4.920</w:t>
            </w:r>
          </w:p>
        </w:tc>
        <w:tc>
          <w:tcPr>
            <w:tcW w:type="dxa" w:w="172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1.1394%</w:t>
            </w:r>
          </w:p>
        </w:tc>
      </w:tr>
    </w:tbl>
    <w:p>
      <w:pPr>
        <w:spacing w:before="140"/>
      </w:pPr>
      <w:r>
        <w:t>这些是解释热点的不同区域视图，不构成可随意相加的总账。特别是 module_resolution 与 selector 子树、solver 与 instantiation 子树、Map 与 balance 子树可能重叠。报告只在已证明互斥的集合内加总。122.335 sampled CPU seconds 只是 122,335 ticks × 1 ms，既不是普通 wall，也不是 exact phase wall。</w:t>
      </w:r>
    </w:p>
    <w:p>
      <w:pPr>
        <w:pStyle w:val="Heading2"/>
      </w:pPr>
      <w:r>
        <w:t>四个 selector 上下文并不代表四次运行调用</w:t>
      </w:r>
    </w:p>
    <w:p>
      <w:r>
        <w:t>partialSelectItem 的两个 settleExports 上下文共 75,527 ticks、118.029 GB；selectType 在 resolution 和 final resolvedExports 两处共 46,808 ticks、72.004 GB。后期插入与 inlining 会改变可见 CCS，entry counts 不能直接作为调用数或 fixed-point 迭代次数。sourceMethodVisible 没有 surviving named CCS，不等于它的成本为零。</w:t>
      </w:r>
    </w:p>
    <w:p>
      <w:pPr>
        <w:pStyle w:val="Heading2"/>
      </w:pPr>
      <w:r>
        <w:t>final solver 的无重叠分区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1872"/>
        <w:gridCol w:w="2304"/>
      </w:tblGrid>
      <w:tr>
        <w:trPr>
          <w:cantSplit/>
          <w:tblHeader/>
        </w:trPr>
        <w:tc>
          <w:tcPr>
            <w:tcW w:type="dxa" w:w="60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solver 分区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ticks</w:t>
            </w:r>
          </w:p>
        </w:tc>
        <w:tc>
          <w:tcPr>
            <w:tcW w:type="dxa" w:w="230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allocation GB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finish_normalize_audit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10,502</w:t>
            </w:r>
          </w:p>
        </w:tc>
        <w:tc>
          <w:tcPr>
            <w:tcW w:type="dxa" w:w="230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7.791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instantiation_including_nested_unify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50,805</w:t>
            </w:r>
          </w:p>
        </w:tc>
        <w:tc>
          <w:tcPr>
            <w:tcW w:type="dxa" w:w="230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49.191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prepare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8,015</w:t>
            </w:r>
          </w:p>
        </w:tc>
        <w:tc>
          <w:tcPr>
            <w:tcW w:type="dxa" w:w="230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11.150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top_level_unify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7,049</w:t>
            </w:r>
          </w:p>
        </w:tc>
        <w:tc>
          <w:tcPr>
            <w:tcW w:type="dxa" w:w="230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7.539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other_final_solver_exclusive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91</w:t>
            </w:r>
          </w:p>
        </w:tc>
        <w:tc>
          <w:tcPr>
            <w:tcW w:type="dxa" w:w="230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0.018</w:t>
            </w:r>
          </w:p>
        </w:tc>
      </w:tr>
    </w:tbl>
    <w:p>
      <w:pPr>
        <w:spacing w:before="140"/>
      </w:pPr>
      <w:r>
        <w:t>instantiation 已包含其内部 nested unify；top_level_unify 是另一个互斥分区。solver 总计为 76,462 ticks、75.689 GB，占全 profile 24.0329% CPU，而非“所有 Map 成本都属于 solver”。</w:t>
      </w:r>
    </w:p>
    <w:p>
      <w:pPr>
        <w:pStyle w:val="Heading1"/>
        <w:pageBreakBefore/>
      </w:pPr>
      <w:r>
        <w:t>6 GHC 的阶段账本与 GC</w:t>
      </w:r>
    </w:p>
    <w:p>
      <w:r>
        <w:t>GHC eventlog 诊断使用 repo demand flags，不是主分母的 plain -O2 配置。单次进程 wall 为 8.855613232 s，接近该配置的普通中位数 8.847117296 s，但单次差异不能量化 eventlog 的无偏开销。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1008"/>
        <w:gridCol w:w="1944"/>
        <w:gridCol w:w="2448"/>
      </w:tblGrid>
      <w:tr>
        <w:trPr>
          <w:cantSplit/>
          <w:tblHeader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阶段族 合并模块后缀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区间数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exclusive s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inclusive s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Simplifier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140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3.309784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3.319050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NCG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4,561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1.355342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1.355342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Cmm pipeline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4,547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0.853186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0.853186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Renamer/typechecker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0.385780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0.451365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systool:as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0.268352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0.268352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CoreToStg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0.258533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0.258533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CodeGen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0.230396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2.493264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Desugar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0.218458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0.221302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Float out  JoinsToTop=True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0.188555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0.188555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loading interface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21,196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0.185455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0.185455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Common sub-expression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0.179868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0.179868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CoreTidy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0.112060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0.112060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Parser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0.110101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0.110101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CorePrep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0.106115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0.106115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Specialise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0.100997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0.101007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Chasing dependencies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0.097492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0.097492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Demand analysis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0.089915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0.089915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其余已标记标签</w:t>
            </w:r>
          </w:p>
        </w:tc>
        <w:tc>
          <w:tcPr>
            <w:tcW w:type="dxa" w:w="100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9,263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0.445722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不合并父子 inclusive</w:t>
            </w:r>
          </w:p>
        </w:tc>
      </w:tr>
    </w:tbl>
    <w:p>
      <w:pPr>
        <w:spacing w:before="140"/>
      </w:pPr>
      <w:r>
        <w:t>39,890 个区间的 exclusive 总和为 8.496111323 s，已标记区间覆盖之外的残差为 0.359501909 s；合计精确还原 8.855613232 s 进程 wall。CodeGen inclusive 包含后端子阶段；NCG 与 Cmm 不能重复加到它上面。</w:t>
      </w:r>
    </w:p>
    <w:p>
      <w:r>
        <w:t>从 201,362 个事件中选取 USER_MSG / traceEventIO 的 tag 19 相位通道，79,780 markers 配对为 39,890 phases；另有 tag 58 diagnostic messages 1,012 条，不与相位通道混用。parser 对 block 长度、最终 block、双通道和区间嵌套有控制测试。</w:t>
      </w:r>
    </w:p>
    <w:p>
      <w:r>
        <w:rPr>
          <w:sz w:val="18"/>
        </w:rPr>
        <w:t>GC 525 个区间的 elapsed overlay 为 2.176201864 s，已包含在阶段和进程 wall 中。HEAP_ALLOCATED 最后观测为 10,593,411,424 bytes；HEAP_LIVE 最大观测为 63,053,704 bytes，仅是 10 次 major-GC live 观测，不是连续峰值或 RSS。不能从这些时间戳推断 GC CPU、精确 mutator time 或各阶段 allocation。</w:t>
      </w:r>
    </w:p>
    <w:p>
      <w:pPr>
        <w:pStyle w:val="Heading1"/>
        <w:pageBreakBefore/>
      </w:pPr>
      <w:r>
        <w:t>7 验证结论与下一步门槛</w:t>
      </w:r>
    </w:p>
    <w:p>
      <w:pPr>
        <w:pStyle w:val="Heading2"/>
      </w:pPr>
      <w:r>
        <w:t>已经建立的事实</w:t>
      </w:r>
    </w:p>
    <w:p>
      <w:r>
        <w:t>输入 provenance audit 核验了 2,581 个唯一 pinned 文件，涵盖真实 GHC binary、launcher、settings、toolchain、installed dependencies、resolved source modules、host/configuration inputs、14 个冻结源模块、GHC objects 与 MLF dependency artifacts。profile 完成后的再次审计也全部通过。哈希校验约 1.259 GB 输入；这证明输入来源一致，不是独立的完整语义测试。</w:t>
      </w:r>
    </w:p>
    <w:p>
      <w:r>
        <w:t>普通 MLF 三次、RTS、forced 与 late-profile 目标编译均成功，544 fresh / 0 reused；.mlfci 和 .mlfco 与先前参考输出逐字节一致。GHC 普通样本确认恰好编译 14 模块且依赖对象没有改变。此处没有绕过独立 xMLF 检查。</w:t>
      </w:r>
    </w:p>
    <w:p>
      <w:pPr>
        <w:pStyle w:val="Heading2"/>
      </w:pPr>
      <w:r>
        <w:t>第一项候选的验证门槛</w:t>
      </w:r>
    </w:p>
    <w:p>
      <w:r>
        <w:t>• 先保留并发布本报告、冻结输入与原始数据，再改变性能代码；不把诊断 instrumentation 当作优化。</w:t>
      </w:r>
    </w:p>
    <w:p>
      <w:r>
        <w:t>• 只实施 parent filter before union 的最小改动；保持 entity identity、排序、alias 去重、错误与 lazy Abstract 语义。优先利用现有 selector 语义，不更换 hash 或跳过 checks。</w:t>
      </w:r>
    </w:p>
    <w:p>
      <w:r>
        <w:t>• 覆盖显式成员列表、全部成员、Abstract、重复 alias、歧义/缺失名称、成员可见性、导出循环与 fixed point 的正反例；保留模块与 crate 的独立验证。</w:t>
      </w:r>
    </w:p>
    <w:p>
      <w:r>
        <w:t>• 同一 frozen14 冷目标重编译必须仍为 544/0，并比较完整产物字节、query semantic fingerprint 与错误行为；随后运行授权范围内更广的回归测试。</w:t>
      </w:r>
    </w:p>
    <w:p>
      <w:r>
        <w:t>• 在没有 profiler 的普通 executable 上重新独立计时，至少使用与基线相同的样本数、环境和资源守护；依据普通 median 验收收益，同时报告 allocation / RSS 是否回退。</w:t>
      </w:r>
    </w:p>
    <w:p>
      <w:r>
        <w:t>• 只有普通 MLF median ≤ 27.142943916 s 才在本宿主本输入上达到目标。一次局部改动不能预先保证整体 6.04 倍加速。</w:t>
      </w:r>
    </w:p>
    <w:p>
      <w:pPr>
        <w:pStyle w:val="Heading2"/>
      </w:pPr>
      <w:r>
        <w:t>后续候选与不做的事情</w:t>
      </w:r>
    </w:p>
    <w:p>
      <w:r>
        <w:t>第二优先级是 solver instantiation 中重复 index/map 构建与 projection/restoration；第三是不可变 serialization / fingerprint 共享；第四是在一次 compile 内复用已认证依赖快照。20 个 fingerprint 根合计 36,344 ticks、55.591 GB；两处依赖加载分别为 3,725 / 3,756 ticks、各约 6.262 GB。都需要代码与数据身份论证及普通计时，不采用弱 hash、过期缓存或减少检查来换速度。</w:t>
      </w:r>
    </w:p>
    <w:p>
      <w:pPr>
        <w:pStyle w:val="Heading1"/>
        <w:pageBreakBefore/>
      </w:pPr>
      <w:r>
        <w:t>附录 A Forced 输入与推断阶段</w:t>
      </w:r>
    </w:p>
    <w:p>
      <w:r>
        <w:t>以下是按工作类别排列的同一次 forced 诊断。exclusive 可相加；inclusive 仅用于看父区间覆盖范围，不能与子区间相加。表中保留 6 位小数，精确纳秒见 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720"/>
        <w:gridCol w:w="2160"/>
        <w:gridCol w:w="2160"/>
      </w:tblGrid>
      <w:tr>
        <w:trPr>
          <w:cantSplit/>
          <w:tblHeader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标签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次数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exclusive s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inclusive 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dependency.initial.load-decode-validate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1.545229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1.545229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dependency.prelude.load-decode-validate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1.563357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1.563357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source.load-all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0.004486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0.957739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source.parse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0.925537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0.925537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source.clean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0.024651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0.024651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crate.prepare-selected-outputs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0.047831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51.956376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module.resolve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51.682579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51.682579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source.plan.prepare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0.221195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0.221195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source.group.prepare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9.222663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9.222663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source.group.finalize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4.169669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4.169669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720"/>
        <w:gridCol w:w="2160"/>
        <w:gridCol w:w="2160"/>
      </w:tblGrid>
      <w:tr>
        <w:trPr>
          <w:cantSplit/>
          <w:tblHeader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标签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次数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exclusive s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inclusive 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inference.fragment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6.381214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70.993421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constraints.generate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10.848724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10.987884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solver.incremental.prepare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0.006000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0.006000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solver.incremental.unify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0.020742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0.020742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solver.incremental.steps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0.104035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0.104035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solver.incremental.finish-audit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0.007260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0.007260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solver.final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0.166044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42.628326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solver.final.prepare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4.472120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4.472120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solver.final.unify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4.394807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4.394807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solver.final.steps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27.617739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27.617739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solver.final.finish-normalize-audit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5.509135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5.509135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elaboration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4.231124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4.231124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check.compiler-core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1.854178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1.854178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evidence.resolve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1.699460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1.699460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fragment.parameter-lowering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1.264675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1.264675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check.fragment-payload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1.431851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1.431851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agreement.type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0.002618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0.002618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agreement.erasure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0.015226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0.015226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fragment.collect-bindings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0.302427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0.302427</w:t>
            </w:r>
          </w:p>
        </w:tc>
      </w:tr>
    </w:tbl>
    <w:p>
      <w:pPr>
        <w:pStyle w:val="Heading1"/>
        <w:pageBreakBefore/>
        <w:spacing w:before="140"/>
      </w:pPr>
      <w:r>
        <w:t>附录 B Forced 缓存与产物阶段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720"/>
        <w:gridCol w:w="2160"/>
        <w:gridCol w:w="2160"/>
      </w:tblGrid>
      <w:tr>
        <w:trPr>
          <w:cantSplit/>
          <w:tblHeader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标签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次数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exclusive s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inclusive 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cache.write-publish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23.019530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28.157812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crate.assemble-validate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12.222364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17.667391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query.source-key.encode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5.893905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5.893905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artifact.payload.encode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5.714784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5.714784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query.cache.encode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5.137714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5.137714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artifact.payload.fingerprint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1.293211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5.445025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query.key.digest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0.909022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0.909022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query.key.write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0.309775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6.204452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diagnostic-total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0.156287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195.464745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query.report.encode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0.119373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0.119373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artifact.interface.encode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0.114119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0.114119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query.compiler.digest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0.049983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0.049983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artifact.interface.fingerprint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0.048926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0.107005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artifact.object.write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0.005653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1.680444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artifact.object.encode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0.004810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1.674790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artifact.interface.write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0.000779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0.056822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query.report.write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0.000274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0.119649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artifact.write</w:t>
            </w:r>
          </w:p>
        </w:tc>
        <w:tc>
          <w:tcPr>
            <w:tcW w:type="dxa" w:w="72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0.000034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1.737302</w:t>
            </w:r>
          </w:p>
        </w:tc>
      </w:tr>
    </w:tbl>
    <w:p>
      <w:pPr>
        <w:spacing w:before="140"/>
      </w:pPr>
      <w:r>
        <w:t>全部 forced-again 标签合计 12,028 个区间、0.727624466 s exclusive。它们刻画再次遍历已 force 结果的诊断工作，不是完整 instrumentation 开销，更不是可以直接从普通编译中扣除的“冗余”。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2880"/>
        <w:gridCol w:w="266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精确总账</w:t>
            </w:r>
          </w:p>
        </w:tc>
        <w:tc>
          <w:tcPr>
            <w:tcW w:type="dxa" w:w="288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纳秒</w:t>
            </w:r>
          </w:p>
        </w:tc>
        <w:tc>
          <w:tcPr>
            <w:tcW w:type="dxa" w:w="26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秒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非 forced-again exclusive</w:t>
            </w:r>
          </w:p>
        </w:tc>
        <w:tc>
          <w:tcPr>
            <w:tcW w:type="dxa" w:w="288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194,737,120,704</w:t>
            </w:r>
          </w:p>
        </w:tc>
        <w:tc>
          <w:tcPr>
            <w:tcW w:type="dxa" w:w="26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194.737120704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forced-again exclusive</w:t>
            </w:r>
          </w:p>
        </w:tc>
        <w:tc>
          <w:tcPr>
            <w:tcW w:type="dxa" w:w="288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727,624,466</w:t>
            </w:r>
          </w:p>
        </w:tc>
        <w:tc>
          <w:tcPr>
            <w:tcW w:type="dxa" w:w="26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0.727624466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root 全体 exclusive</w:t>
            </w:r>
          </w:p>
        </w:tc>
        <w:tc>
          <w:tcPr>
            <w:tcW w:type="dxa" w:w="288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195,464,745,170</w:t>
            </w:r>
          </w:p>
        </w:tc>
        <w:tc>
          <w:tcPr>
            <w:tcW w:type="dxa" w:w="26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195.464745170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root 外 process residual</w:t>
            </w:r>
          </w:p>
        </w:tc>
        <w:tc>
          <w:tcPr>
            <w:tcW w:type="dxa" w:w="288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1,692,071,632</w:t>
            </w:r>
          </w:p>
        </w:tc>
        <w:tc>
          <w:tcPr>
            <w:tcW w:type="dxa" w:w="26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1.692071632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process wall</w:t>
            </w:r>
          </w:p>
        </w:tc>
        <w:tc>
          <w:tcPr>
            <w:tcW w:type="dxa" w:w="2880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197,156,816,802</w:t>
            </w:r>
          </w:p>
        </w:tc>
        <w:tc>
          <w:tcPr>
            <w:tcW w:type="dxa" w:w="2664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197.156816802</w:t>
            </w:r>
          </w:p>
        </w:tc>
      </w:tr>
    </w:tbl>
    <w:p>
      <w:pPr>
        <w:spacing w:before="140"/>
      </w:pPr>
      <w:r>
        <w:t>query.source-key.encode、query.key.digest、query.cache.encode、artifact.payload.encode 与 fingerprint 是不同 demand 边界。编码和 hash 可以间接 demand 尚未求值的数据；因此名称表示计时包围的动作及其所需工作，不保证是纯字符串转换或纯 hash CPU。</w:t>
      </w:r>
    </w:p>
    <w:p>
      <w:pPr>
        <w:pStyle w:val="Heading1"/>
        <w:pageBreakBefore/>
      </w:pPr>
      <w:r>
        <w:t>附录 C 输入身份与可复现路径</w:t>
      </w:r>
    </w:p>
    <w:p>
      <w:r>
        <w:t>所有下述相对路径以 mlf-crates-profile-work-20261026 为根目录 W。复现必须使用原 receipt 的完整 argv、cwd、environment、compiler hash 与匹配依赖，不能只复制本报告中的缩写命令。源码与诊断 patch、原始日志和 JSON 应随报告一起保留。</w:t>
      </w:r>
    </w:p>
    <w:p>
      <w:pPr>
        <w:spacing w:after="40" w:line="260" w:lineRule="exact"/>
      </w:pPr>
      <w:r>
        <w:rPr>
          <w:b/>
          <w:sz w:val="20"/>
        </w:rPr>
        <w:t>Base commit</w:t>
      </w:r>
    </w:p>
    <w:p>
      <w:pPr>
        <w:spacing w:line="260" w:lineRule="exact" w:after="100"/>
      </w:pPr>
      <w:r>
        <w:rPr>
          <w:sz w:val="18"/>
        </w:rPr>
        <w:t>aa11ffd318a2efa5be9805524710d0677eedb86f</w:t>
      </w:r>
    </w:p>
    <w:p>
      <w:pPr>
        <w:spacing w:after="40" w:line="260" w:lineRule="exact"/>
      </w:pPr>
      <w:r>
        <w:rPr>
          <w:b/>
          <w:sz w:val="20"/>
        </w:rPr>
        <w:t>Approved input patch SHA256</w:t>
      </w:r>
    </w:p>
    <w:p>
      <w:pPr>
        <w:spacing w:line="260" w:lineRule="exact" w:after="100"/>
      </w:pPr>
      <w:r>
        <w:rPr>
          <w:sz w:val="18"/>
        </w:rPr>
        <w:t>a09180199c536610c3f22bb4169d3ecc495531fd37dffb5d13fe9c6881d45855</w:t>
      </w:r>
    </w:p>
    <w:p>
      <w:pPr>
        <w:spacing w:after="40" w:line="260" w:lineRule="exact"/>
      </w:pPr>
      <w:r>
        <w:rPr>
          <w:b/>
          <w:sz w:val="20"/>
        </w:rPr>
        <w:t>Frozen manifest SHA256</w:t>
      </w:r>
    </w:p>
    <w:p>
      <w:pPr>
        <w:spacing w:line="260" w:lineRule="exact" w:after="100"/>
      </w:pPr>
      <w:r>
        <w:rPr>
          <w:sz w:val="18"/>
        </w:rPr>
        <w:t>102d2f829a06caaad08e4123631f7fd4146ec3fd320c334571aa58378d40710c</w:t>
      </w:r>
    </w:p>
    <w:p>
      <w:pPr>
        <w:spacing w:after="40" w:line="260" w:lineRule="exact"/>
      </w:pPr>
      <w:r>
        <w:rPr>
          <w:b/>
          <w:sz w:val="20"/>
        </w:rPr>
        <w:t>Baseline MLF compiler SHA256</w:t>
      </w:r>
    </w:p>
    <w:p>
      <w:pPr>
        <w:spacing w:line="260" w:lineRule="exact" w:after="100"/>
      </w:pPr>
      <w:r>
        <w:rPr>
          <w:sz w:val="18"/>
        </w:rPr>
        <w:t>ded7b23d144b817d95b297f3c6f6e18de2f91b656f3e5a6390f28dc9e17ef91a</w:t>
      </w:r>
    </w:p>
    <w:p>
      <w:pPr>
        <w:spacing w:after="40" w:line="260" w:lineRule="exact"/>
      </w:pPr>
      <w:r>
        <w:rPr>
          <w:b/>
          <w:sz w:val="20"/>
        </w:rPr>
        <w:t>GHC launcher SHA256</w:t>
      </w:r>
    </w:p>
    <w:p>
      <w:pPr>
        <w:spacing w:line="260" w:lineRule="exact" w:after="100"/>
      </w:pPr>
      <w:r>
        <w:rPr>
          <w:sz w:val="18"/>
        </w:rPr>
        <w:t>a622aba01afea791882e3c236754432b6f328e03b68f3e085de174aedd39509b</w:t>
      </w:r>
    </w:p>
    <w:p>
      <w:pPr>
        <w:spacing w:after="40" w:line="260" w:lineRule="exact"/>
      </w:pPr>
      <w:r>
        <w:rPr>
          <w:b/>
          <w:sz w:val="20"/>
        </w:rPr>
        <w:t>.mlfci reference SHA256</w:t>
      </w:r>
    </w:p>
    <w:p>
      <w:pPr>
        <w:spacing w:line="260" w:lineRule="exact" w:after="100"/>
      </w:pPr>
      <w:r>
        <w:rPr>
          <w:sz w:val="18"/>
        </w:rPr>
        <w:t>876835e3fd66562b4080a8a52b424133e6b0427fecb2f8ffe4d9f96bb34bbe34</w:t>
      </w:r>
    </w:p>
    <w:p>
      <w:pPr>
        <w:spacing w:after="40" w:line="260" w:lineRule="exact"/>
      </w:pPr>
      <w:r>
        <w:rPr>
          <w:b/>
          <w:sz w:val="20"/>
        </w:rPr>
        <w:t>.mlfco reference SHA256</w:t>
      </w:r>
    </w:p>
    <w:p>
      <w:pPr>
        <w:spacing w:line="260" w:lineRule="exact" w:after="100"/>
      </w:pPr>
      <w:r>
        <w:rPr>
          <w:sz w:val="18"/>
        </w:rPr>
        <w:t>a97d0c7e0990966f5926386ff2e3f6e6e0deb88d0fd02c22e9ca164e7f38807d</w:t>
      </w:r>
    </w:p>
    <w:p>
      <w:pPr>
        <w:pStyle w:val="Heading2"/>
      </w:pPr>
      <w:r>
        <w:t>固定的 14 个目标模块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编译顺序 1 至 7</w:t>
            </w:r>
          </w:p>
        </w:tc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9"/>
              </w:rPr>
              <w:t>编译顺序 8 至 14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Bootstrap.SourceEquality</w:t>
            </w:r>
          </w:p>
        </w:tc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Bootstrap.CrateArtifact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Bootstrap.Separate</w:t>
            </w:r>
          </w:p>
        </w:tc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Bootstrap.CrateCodegen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Bootstrap.ImportParameters</w:t>
            </w:r>
          </w:p>
        </w:tc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Bootstrap.Crate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Bootstrap.InferenceUnit</w:t>
            </w:r>
          </w:p>
        </w:tc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Bootstrap.PreparedLibraries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Bootstrap.SourceInference</w:t>
            </w:r>
          </w:p>
        </w:tc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Bootstrap.BuiltinPreludeContext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Bootstrap.CrateQuery</w:t>
            </w:r>
          </w:p>
        </w:tc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Bootstrap.BuiltinPreludeLiteral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Bootstrap.ImportedRoot</w:t>
            </w:r>
          </w:p>
        </w:tc>
        <w:tc>
          <w:tcPr>
            <w:tcW w:type="dxa" w:w="5112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9"/>
              </w:rPr>
              <w:t>Bootstrap.PreparedLibraryLiteral</w:t>
            </w:r>
          </w:p>
        </w:tc>
      </w:tr>
    </w:tbl>
    <w:p>
      <w:pPr>
        <w:pStyle w:val="Heading2"/>
        <w:spacing w:before="140"/>
      </w:pPr>
      <w:r>
        <w:t>复现命令的入口</w:t>
      </w:r>
    </w:p>
    <w:p>
      <w:r>
        <w:t>普通 MLF：recipes/benchmark.py mlf &lt;新标签&gt;。plain GHC：recipes/benchmark.py ghc &lt;新标签&gt; --plain-o2。两者要求目录尚不存在，并且执行前的资源 guard 应与原运行一致。不要在保留结果的既有标签中重跑，不要在计时期间并发构建或渲染文档。</w:t>
      </w:r>
    </w:p>
    <w:p>
      <w:r>
        <w:t>阶段解析：diagnostic/analyze_phase.py；GHC eventlog 解析：recipes/ghc_eventlog_phases.py 与 ghc_eventlog_rts.py；late CCS 重建：profile-late-analysis/analyze_late_profile.py。逐事件和树数据用程序处理，而非复制到文档。</w:t>
      </w:r>
    </w:p>
    <w:p>
      <w:pPr>
        <w:pStyle w:val="Heading1"/>
        <w:pageBreakBefore/>
      </w:pPr>
      <w:r>
        <w:t>附录 D 证据索引与已知限制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056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证据用途</w:t>
            </w:r>
          </w:p>
        </w:tc>
        <w:tc>
          <w:tcPr>
            <w:tcW w:type="dxa" w:w="70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18"/>
              </w:rPr>
              <w:t>相对路径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主基线和 RTS 对照</w:t>
            </w:r>
          </w:p>
        </w:tc>
        <w:tc>
          <w:tcPr>
            <w:tcW w:type="dxa" w:w="70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evidence/baseline-final-summary.json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普通样本完整命令与结果</w:t>
            </w:r>
          </w:p>
        </w:tc>
        <w:tc>
          <w:tcPr>
            <w:tcW w:type="dxa" w:w="70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runs/baseline-mlf-{1,2,3}/receipt.json</w:t>
              <w:br/>
              <w:t>runs/baseline-plain-ghc-{1,2,3}/receipt.json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repo flags 敏感性样本</w:t>
            </w:r>
          </w:p>
        </w:tc>
        <w:tc>
          <w:tcPr>
            <w:tcW w:type="dxa" w:w="70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evidence/baseline-summary.json</w:t>
              <w:br/>
              <w:t>runs/baseline-make-ghc-{1,2,3}/receipt.json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普通实现 RTS</w:t>
            </w:r>
          </w:p>
        </w:tc>
        <w:tc>
          <w:tcPr>
            <w:tcW w:type="dxa" w:w="70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runs/profile-baseline-rts-1/receipt.json 与 stderr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forced 完整事件与总账</w:t>
            </w:r>
          </w:p>
        </w:tc>
        <w:tc>
          <w:tcPr>
            <w:tcW w:type="dxa" w:w="70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runs/profile-forced-1/phases.jsonl</w:t>
              <w:br/>
              <w:t>evidence/mlf-forced-phase-wall.json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late CCS exact counts 与原树</w:t>
            </w:r>
          </w:p>
        </w:tc>
        <w:tc>
          <w:tcPr>
            <w:tcW w:type="dxa" w:w="70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profile-late-analysis/summary.json</w:t>
              <w:br/>
              <w:t>profile-late-analysis/ccs-tree.json.gz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GHC eventlog 阶段与 RTS</w:t>
            </w:r>
          </w:p>
        </w:tc>
        <w:tc>
          <w:tcPr>
            <w:tcW w:type="dxa" w:w="70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evidence/ghc-eventlog-phase-wall.json</w:t>
              <w:br/>
              <w:t>evidence/ghc-eventlog-rts-observations.json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输入 pins 与 provenance</w:t>
            </w:r>
          </w:p>
        </w:tc>
        <w:tc>
          <w:tcPr>
            <w:tcW w:type="dxa" w:w="70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frozen.json</w:t>
              <w:br/>
              <w:t>evidence/provenance-audit-before-profile.json</w:t>
              <w:br/>
              <w:t>evidence/provenance-audit-after-profile.json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forcing 与 helper 验证</w:t>
            </w:r>
          </w:p>
        </w:tc>
        <w:tc>
          <w:tcPr>
            <w:tcW w:type="dxa" w:w="70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diagnostic-tests/receipt.json</w:t>
              <w:br/>
              <w:t>evidence/phase-helper-optimized-core.json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复合阶段 callsite 审计</w:t>
            </w:r>
          </w:p>
        </w:tc>
        <w:tc>
          <w:tcPr>
            <w:tcW w:type="dxa" w:w="70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evidence/mlf-forced-composite-interpretation.json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left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资源保护与取消记录</w:t>
            </w:r>
          </w:p>
        </w:tc>
        <w:tc>
          <w:tcPr>
            <w:tcW w:type="dxa" w:w="7056"/>
            <w:vAlign w:val="center"/>
            <w:tcMar>
              <w:top w:w="45" w:type="dxa"/>
              <w:bottom w:w="4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0" w:lineRule="exact"/>
              <w:jc w:val="center"/>
            </w:pPr>
            <w:r>
              <w:rPr>
                <w:rFonts w:ascii="Calibri" w:hAnsi="Calibri" w:eastAsia="Noto Sans CJK SC"/>
                <w:b w:val="0"/>
                <w:color w:val="000000"/>
                <w:sz w:val="18"/>
              </w:rPr>
              <w:t>guards/*/bounded-receipt.json</w:t>
              <w:br/>
              <w:t>evidence/auto-profile-cancel-observation.json</w:t>
            </w:r>
          </w:p>
        </w:tc>
      </w:tr>
    </w:tbl>
    <w:p>
      <w:pPr>
        <w:pStyle w:val="Heading2"/>
        <w:spacing w:before="140"/>
      </w:pPr>
      <w:r>
        <w:t>限制需与结果一起保留</w:t>
      </w:r>
    </w:p>
    <w:p>
      <w:r>
        <w:t>• 三次普通样本、单次诊断不能给出普遍分布或跨版本/机器结论；普通与诊断数据不混样，不以 CPU 百分比乘 ordinary wall。</w:t>
      </w:r>
    </w:p>
    <w:p>
      <w:r>
        <w:t>• 早期 automatic SCC profile 在约 321.9 s 被取消，未产生代表性完成结果，排除于计时基线。终端退出码为 130，后验观察输出未继续变化；可见性检查仅限当前进程 namespace。</w:t>
      </w:r>
    </w:p>
    <w:p>
      <w:r>
        <w:t>• 最早一批 guard 的 output-growth root 只覆盖日志，未覆盖实际运行输出；wall、RSS、address space、宿主内存与磁盘余量保护仍有效，后续已修正。未计时的 plain dependency setup 重复 output-root 参数只选择了最后一个 root；实际 setup 输出 16,873,890 bytes 事后核查。</w:t>
      </w:r>
    </w:p>
    <w:p>
      <w:r>
        <w:t>• checked crate 字节一致和诊断 controls 提供本任务范围内证据，不替代全项目测试或完整 native bootstrap。报告没有测得任何优化收益，也没有修改算法、减弱验证或改变编译语义。</w:t>
      </w:r>
    </w:p>
    <w:sectPr w:rsidR="00FC693F" w:rsidRPr="0006063C" w:rsidSect="00034616">
      <w:footerReference w:type="default" r:id="rId9"/>
      <w:pgSz w:w="12240" w:h="15840"/>
      <w:pgMar w:top="950" w:right="1008" w:bottom="950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</w:pPr>
    <w:rPr>
      <w:rFonts w:ascii="Calibri" w:hAnsi="Calibri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59" w:lineRule="auto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59" w:lineRule="auto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mlf crates 14 模块编译性能诊断与优化前基线</dc:title>
  <dc:subject>Same-source frozen14 compile profile before optimization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