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709"/>
        </w:tabs>
        <w:jc w:val="center"/>
        <w:rPr>
          <w:rFonts w:ascii="Calibri" w:cs="Calibri" w:eastAsia="Calibri" w:hAnsi="Calibri"/>
          <w:b w:val="1"/>
          <w:bCs w:val="1"/>
          <w:highlight w:val="green"/>
          <w:u w:val="single"/>
        </w:rPr>
      </w:pPr>
      <w:r w:rsidDel="00000000" w:rsidR="00000000" w:rsidRPr="00000000">
        <w:rPr>
          <w:rFonts w:ascii="Calibri" w:cs="Calibri" w:eastAsia="Calibri" w:hAnsi="Calibri"/>
          <w:b w:val="1"/>
          <w:bCs w:val="1"/>
          <w:u w:val="single"/>
          <w:rtl w:val="0"/>
        </w:rPr>
        <w:t xml:space="preserve">Memorandum of Understanding</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Fonts w:ascii="Calibri" w:cs="Calibri" w:eastAsia="Calibri" w:hAnsi="Calibri"/>
          <w:rtl w:val="0"/>
        </w:rPr>
        <w:t xml:space="preserve">This Memorandum of Understanding (“</w:t>
      </w:r>
      <w:r w:rsidDel="00000000" w:rsidR="00000000" w:rsidRPr="00000000">
        <w:rPr>
          <w:rFonts w:ascii="Calibri" w:cs="Calibri" w:eastAsia="Calibri" w:hAnsi="Calibri"/>
          <w:b w:val="1"/>
          <w:bCs w:val="1"/>
          <w:rtl w:val="0"/>
        </w:rPr>
        <w:t xml:space="preserve">MOU</w:t>
      </w:r>
      <w:r w:rsidDel="00000000" w:rsidR="00000000" w:rsidRPr="00000000">
        <w:rPr>
          <w:rFonts w:ascii="Calibri" w:cs="Calibri" w:eastAsia="Calibri" w:hAnsi="Calibri"/>
          <w:rtl w:val="0"/>
        </w:rPr>
        <w:t xml:space="preserve">”) is entered into and effective as of the date last signed below by and between:</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bookmarkStart w:colFirst="0" w:colLast="0" w:name="_heading=h.7z4u8d8up7y3" w:id="0"/>
      <w:bookmarkEnd w:id="0"/>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bookmarkStart w:colFirst="0" w:colLast="0" w:name="_heading=h.54nio2at9si2" w:id="1"/>
      <w:bookmarkEnd w:id="1"/>
      <w:r w:rsidDel="00000000" w:rsidR="00000000" w:rsidRPr="00000000">
        <w:rPr>
          <w:rFonts w:ascii="Calibri" w:cs="Calibri" w:eastAsia="Calibri" w:hAnsi="Calibri"/>
          <w:rtl w:val="0"/>
        </w:rPr>
        <w:t xml:space="preserve">Google LLC, a Delaware limited liability company, and having its registered office at </w:t>
      </w:r>
      <w:hyperlink r:id="rId7">
        <w:r w:rsidDel="00000000" w:rsidR="00000000" w:rsidRPr="00000000">
          <w:rPr>
            <w:rFonts w:ascii="Calibri" w:cs="Calibri" w:eastAsia="Calibri" w:hAnsi="Calibri"/>
            <w:rtl w:val="0"/>
          </w:rPr>
          <w:t xml:space="preserve">C/o</w:t>
        </w:r>
      </w:hyperlink>
      <w:r w:rsidDel="00000000" w:rsidR="00000000" w:rsidRPr="00000000">
        <w:rPr>
          <w:rFonts w:ascii="Calibri" w:cs="Calibri" w:eastAsia="Calibri" w:hAnsi="Calibri"/>
          <w:rtl w:val="0"/>
        </w:rPr>
        <w:t xml:space="preserve"> Corporation Service Company 251 Little Falls Drive Wilmington DE, 19808 United States and hereinafter unless the context otherwise requires be referred to as (“</w:t>
      </w:r>
      <w:r w:rsidDel="00000000" w:rsidR="00000000" w:rsidRPr="00000000">
        <w:rPr>
          <w:rFonts w:ascii="Calibri" w:cs="Calibri" w:eastAsia="Calibri" w:hAnsi="Calibri"/>
          <w:b w:val="1"/>
          <w:bCs w:val="1"/>
          <w:rtl w:val="0"/>
        </w:rPr>
        <w:t xml:space="preserve">Google</w:t>
      </w: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bookmarkStart w:colFirst="0" w:colLast="0" w:name="_heading=h.c7tu5bxknus8" w:id="2"/>
      <w:bookmarkEnd w:id="2"/>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Fonts w:ascii="Calibri" w:cs="Calibri" w:eastAsia="Calibri" w:hAnsi="Calibri"/>
          <w:rtl w:val="0"/>
        </w:rPr>
        <w:tab/>
        <w:tab/>
        <w:tab/>
        <w:tab/>
        <w:tab/>
        <w:tab/>
        <w:t xml:space="preserve">And</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highlight w:val="white"/>
        </w:rPr>
      </w:pPr>
      <w:r w:rsidDel="00000000" w:rsidR="00000000" w:rsidRPr="00000000">
        <w:rPr>
          <w:rFonts w:ascii="Calibri" w:cs="Calibri" w:eastAsia="Calibri" w:hAnsi="Calibri"/>
          <w:b w:val="1"/>
          <w:bCs w:val="1"/>
          <w:color w:val="202124"/>
          <w:highlight w:val="white"/>
          <w:rtl w:val="0"/>
        </w:rPr>
        <w:t xml:space="preserve">Government of Chhattisgarh</w:t>
      </w:r>
      <w:r w:rsidDel="00000000" w:rsidR="00000000" w:rsidRPr="00000000">
        <w:rPr>
          <w:rFonts w:ascii="Calibri" w:cs="Calibri" w:eastAsia="Calibri" w:hAnsi="Calibri"/>
          <w:highlight w:val="white"/>
          <w:rtl w:val="0"/>
        </w:rPr>
        <w:t xml:space="preserve">, and hereinafter unless the context otherwise required to be referred to as “</w:t>
      </w:r>
      <w:r w:rsidDel="00000000" w:rsidR="00000000" w:rsidRPr="00000000">
        <w:rPr>
          <w:rFonts w:ascii="Calibri" w:cs="Calibri" w:eastAsia="Calibri" w:hAnsi="Calibri"/>
          <w:b w:val="1"/>
          <w:bCs w:val="1"/>
          <w:highlight w:val="white"/>
          <w:rtl w:val="0"/>
        </w:rPr>
        <w:t xml:space="preserve">Government</w:t>
      </w:r>
      <w:r w:rsidDel="00000000" w:rsidR="00000000" w:rsidRPr="00000000">
        <w:rPr>
          <w:rFonts w:ascii="Calibri" w:cs="Calibri" w:eastAsia="Calibri" w:hAnsi="Calibri"/>
          <w:highlight w:val="white"/>
          <w:rtl w:val="0"/>
        </w:rPr>
        <w:t xml:space="preserve">”.</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Fonts w:ascii="Calibri" w:cs="Calibri" w:eastAsia="Calibri" w:hAnsi="Calibri"/>
          <w:rtl w:val="0"/>
        </w:rPr>
        <w:t xml:space="preserve">Google and the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are individually referred to as “</w:t>
      </w:r>
      <w:r w:rsidDel="00000000" w:rsidR="00000000" w:rsidRPr="00000000">
        <w:rPr>
          <w:rFonts w:ascii="Calibri" w:cs="Calibri" w:eastAsia="Calibri" w:hAnsi="Calibri"/>
          <w:b w:val="1"/>
          <w:bCs w:val="1"/>
          <w:rtl w:val="0"/>
        </w:rPr>
        <w:t xml:space="preserve">Party</w:t>
      </w:r>
      <w:r w:rsidDel="00000000" w:rsidR="00000000" w:rsidRPr="00000000">
        <w:rPr>
          <w:rFonts w:ascii="Calibri" w:cs="Calibri" w:eastAsia="Calibri" w:hAnsi="Calibri"/>
          <w:rtl w:val="0"/>
        </w:rPr>
        <w:t xml:space="preserve">” and together referred to as “</w:t>
      </w:r>
      <w:r w:rsidDel="00000000" w:rsidR="00000000" w:rsidRPr="00000000">
        <w:rPr>
          <w:rFonts w:ascii="Calibri" w:cs="Calibri" w:eastAsia="Calibri" w:hAnsi="Calibri"/>
          <w:b w:val="1"/>
          <w:bCs w:val="1"/>
          <w:rtl w:val="0"/>
        </w:rPr>
        <w:t xml:space="preserve">Parties</w:t>
      </w:r>
      <w:r w:rsidDel="00000000" w:rsidR="00000000" w:rsidRPr="00000000">
        <w:rPr>
          <w:rFonts w:ascii="Calibri" w:cs="Calibri" w:eastAsia="Calibri" w:hAnsi="Calibri"/>
          <w:rtl w:val="0"/>
        </w:rPr>
        <w:t xml:space="preserv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Fonts w:ascii="Calibri" w:cs="Calibri" w:eastAsia="Calibri" w:hAnsi="Calibri"/>
          <w:b w:val="1"/>
          <w:bCs w:val="1"/>
          <w:rtl w:val="0"/>
        </w:rPr>
        <w:t xml:space="preserve">Whereas</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numPr>
          <w:ilvl w:val="0"/>
          <w:numId w:val="3"/>
        </w:numPr>
        <w:pBdr>
          <w:top w:space="0" w:sz="0" w:val="nil"/>
          <w:left w:space="0" w:sz="0" w:val="nil"/>
          <w:bottom w:space="0" w:sz="0" w:val="nil"/>
          <w:right w:space="0" w:sz="0" w:val="nil"/>
          <w:between w:space="0" w:sz="0" w:val="nil"/>
        </w:pBdr>
        <w:ind w:left="720" w:hanging="720"/>
        <w:jc w:val="both"/>
        <w:rPr/>
      </w:pPr>
      <w:r w:rsidDel="00000000" w:rsidR="00000000" w:rsidRPr="00000000">
        <w:rPr>
          <w:rFonts w:ascii="Calibri" w:cs="Calibri" w:eastAsia="Calibri" w:hAnsi="Calibri"/>
          <w:rtl w:val="0"/>
        </w:rPr>
        <w:t xml:space="preserve">This MOU sets forth the scope for select non-binding terms of a strategic non-exclusive collaboration concerning democratisation of AI in the State of Chhattisgarh by working together to build AI infrastructure; access to skills and expertise; enable agreed researchers to strengthen their AI research capabilities; and providing training and support programs for such schools, colleges, start-ups, traditional industries, small businesses as may be mutually agreed between the Parties (the “</w:t>
      </w:r>
      <w:r w:rsidDel="00000000" w:rsidR="00000000" w:rsidRPr="00000000">
        <w:rPr>
          <w:rFonts w:ascii="Calibri" w:cs="Calibri" w:eastAsia="Calibri" w:hAnsi="Calibri"/>
          <w:b w:val="1"/>
          <w:bCs w:val="1"/>
          <w:rtl w:val="0"/>
        </w:rPr>
        <w:t xml:space="preserve">Collaboratio</w:t>
      </w:r>
      <w:r w:rsidDel="00000000" w:rsidR="00000000" w:rsidRPr="00000000">
        <w:rPr>
          <w:rFonts w:ascii="Calibri" w:cs="Calibri" w:eastAsia="Calibri" w:hAnsi="Calibri"/>
          <w:b w:val="1"/>
          <w:bCs w:val="1"/>
          <w:highlight w:val="white"/>
          <w:rtl w:val="0"/>
        </w:rPr>
        <w:t xml:space="preserve">n</w:t>
      </w:r>
      <w:r w:rsidDel="00000000" w:rsidR="00000000" w:rsidRPr="00000000">
        <w:rPr>
          <w:rFonts w:ascii="Calibri" w:cs="Calibri" w:eastAsia="Calibri" w:hAnsi="Calibri"/>
          <w:highlight w:val="white"/>
          <w:rtl w:val="0"/>
        </w:rPr>
        <w:t xml:space="preserve">”). </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leader="none" w:pos="709"/>
        </w:tabs>
        <w:jc w:val="both"/>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12">
      <w:pPr>
        <w:widowControl w:val="0"/>
        <w:numPr>
          <w:ilvl w:val="0"/>
          <w:numId w:val="3"/>
        </w:numPr>
        <w:pBdr>
          <w:top w:space="0" w:sz="0" w:val="nil"/>
          <w:left w:space="0" w:sz="0" w:val="nil"/>
          <w:bottom w:space="0" w:sz="0" w:val="nil"/>
          <w:right w:space="0" w:sz="0" w:val="nil"/>
          <w:between w:space="0" w:sz="0" w:val="nil"/>
        </w:pBdr>
        <w:tabs>
          <w:tab w:val="left" w:leader="none" w:pos="709"/>
        </w:tabs>
        <w:ind w:left="720" w:hanging="720"/>
        <w:jc w:val="both"/>
        <w:rPr/>
      </w:pPr>
      <w:r w:rsidDel="00000000" w:rsidR="00000000" w:rsidRPr="00000000">
        <w:rPr>
          <w:rFonts w:ascii="Calibri" w:cs="Calibri" w:eastAsia="Calibri" w:hAnsi="Calibri"/>
          <w:rtl w:val="0"/>
        </w:rPr>
        <w:t xml:space="preserve">This MOU is not legally binding on either Party, except for this paragraph and the terms provided in Section ‎3 (Binding Provisions), and cannot be referenced by incorporation in any documentation. Instead, this MOU only sets forth the basis upon which Google, by itself or through its affiliates, and the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by itself or through its department, authorised consultant or partner, may negotiate one or more mutually acceptable, definitive, binding contracts in furtherance of the Collaboration (collectively, the “</w:t>
      </w:r>
      <w:r w:rsidDel="00000000" w:rsidR="00000000" w:rsidRPr="00000000">
        <w:rPr>
          <w:rFonts w:ascii="Calibri" w:cs="Calibri" w:eastAsia="Calibri" w:hAnsi="Calibri"/>
          <w:b w:val="1"/>
          <w:bCs w:val="1"/>
          <w:rtl w:val="0"/>
        </w:rPr>
        <w:t xml:space="preserve">Definitive Agreement</w:t>
      </w:r>
      <w:r w:rsidDel="00000000" w:rsidR="00000000" w:rsidRPr="00000000">
        <w:rPr>
          <w:rFonts w:ascii="Calibri" w:cs="Calibri" w:eastAsia="Calibri" w:hAnsi="Calibri"/>
          <w:rtl w:val="0"/>
        </w:rPr>
        <w:t xml:space="preserve">”). Each Party and its affiliates or departments, as applicable, may terminate at any time all negotiations regarding the Definitive Agreement, including this MOU, at its discretion, without liability and without obligation other than those set forth in Section ‎3 (Binding Provisions). Partial performance by either Party of the terms of this MOU, or the efforts by either Party to perform due diligence or carry out other acts in contemplation of consummating a Definitive Agreement, will not be deemed evidence of intent by either Party to be otherwise bound by the terms of this MOU. This MOU is not exhaustive and parties and its affiliates or departments, as applicable, may discuss the terms and conditions for each Definitive Agreement separately.</w:t>
      </w:r>
    </w:p>
    <w:p w:rsidR="00000000" w:rsidDel="00000000" w:rsidP="00000000" w:rsidRDefault="00000000" w:rsidRPr="00000000" w14:paraId="0000001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numPr>
          <w:ilvl w:val="0"/>
          <w:numId w:val="2"/>
        </w:numPr>
        <w:ind w:left="720" w:hanging="540"/>
        <w:jc w:val="both"/>
        <w:rPr/>
      </w:pPr>
      <w:r w:rsidDel="00000000" w:rsidR="00000000" w:rsidRPr="00000000">
        <w:rPr>
          <w:rFonts w:ascii="Calibri" w:cs="Calibri" w:eastAsia="Calibri" w:hAnsi="Calibri"/>
          <w:b w:val="1"/>
          <w:bCs w:val="1"/>
          <w:rtl w:val="0"/>
        </w:rPr>
        <w:t xml:space="preserve">Background.</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highlight w:val="white"/>
          <w:rtl w:val="0"/>
        </w:rPr>
        <w:t xml:space="preserve">Government </w:t>
      </w:r>
      <w:r w:rsidDel="00000000" w:rsidR="00000000" w:rsidRPr="00000000">
        <w:rPr>
          <w:rFonts w:ascii="Calibri" w:cs="Calibri" w:eastAsia="Calibri" w:hAnsi="Calibri"/>
          <w:rtl w:val="0"/>
        </w:rPr>
        <w:t xml:space="preserve"> and Google wish to embark upon the Collaboration to build and nurture an AI enabled ecosystem in the State of Chhattisgarh that solves local problems, enables users and scales nationally. </w:t>
      </w:r>
    </w:p>
    <w:p w:rsidR="00000000" w:rsidDel="00000000" w:rsidP="00000000" w:rsidRDefault="00000000" w:rsidRPr="00000000" w14:paraId="00000015">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numPr>
          <w:ilvl w:val="0"/>
          <w:numId w:val="2"/>
        </w:numPr>
        <w:ind w:left="720" w:hanging="540"/>
        <w:jc w:val="both"/>
        <w:rPr/>
      </w:pPr>
      <w:r w:rsidDel="00000000" w:rsidR="00000000" w:rsidRPr="00000000">
        <w:rPr>
          <w:rFonts w:ascii="Calibri" w:cs="Calibri" w:eastAsia="Calibri" w:hAnsi="Calibri"/>
          <w:b w:val="1"/>
          <w:bCs w:val="1"/>
          <w:rtl w:val="0"/>
        </w:rPr>
        <w:t xml:space="preserve">Objectives.</w:t>
      </w:r>
      <w:r w:rsidDel="00000000" w:rsidR="00000000" w:rsidRPr="00000000">
        <w:rPr>
          <w:rFonts w:ascii="Calibri" w:cs="Calibri" w:eastAsia="Calibri" w:hAnsi="Calibri"/>
          <w:rtl w:val="0"/>
        </w:rPr>
        <w:t xml:space="preserve"> The Parties and its affiliates and department, as applicable, will work in good faith to negotiate and execute the Definitive Agreement to enable the programs set out in </w:t>
      </w:r>
      <w:r w:rsidDel="00000000" w:rsidR="00000000" w:rsidRPr="00000000">
        <w:rPr>
          <w:rFonts w:ascii="Calibri" w:cs="Calibri" w:eastAsia="Calibri" w:hAnsi="Calibri"/>
          <w:u w:val="single"/>
          <w:rtl w:val="0"/>
        </w:rPr>
        <w:t xml:space="preserve">Annexure A</w:t>
      </w:r>
      <w:r w:rsidDel="00000000" w:rsidR="00000000" w:rsidRPr="00000000">
        <w:rPr>
          <w:rFonts w:ascii="Calibri" w:cs="Calibri" w:eastAsia="Calibri" w:hAnsi="Calibri"/>
          <w:rtl w:val="0"/>
        </w:rPr>
        <w:t xml:space="preserve"> of this MOU in furtherance of the Collaboration.</w:t>
      </w:r>
    </w:p>
    <w:p w:rsidR="00000000" w:rsidDel="00000000" w:rsidP="00000000" w:rsidRDefault="00000000" w:rsidRPr="00000000" w14:paraId="00000017">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ind w:left="720" w:hanging="540"/>
        <w:jc w:val="both"/>
        <w:rPr/>
      </w:pPr>
      <w:r w:rsidDel="00000000" w:rsidR="00000000" w:rsidRPr="00000000">
        <w:rPr>
          <w:rFonts w:ascii="Calibri" w:cs="Calibri" w:eastAsia="Calibri" w:hAnsi="Calibri"/>
          <w:b w:val="1"/>
          <w:bCs w:val="1"/>
          <w:rtl w:val="0"/>
        </w:rPr>
        <w:t xml:space="preserve">Binding Provisions.</w:t>
      </w:r>
      <w:r w:rsidDel="00000000" w:rsidR="00000000" w:rsidRPr="00000000">
        <w:rPr>
          <w:rtl w:val="0"/>
        </w:rPr>
      </w:r>
    </w:p>
    <w:p w:rsidR="00000000" w:rsidDel="00000000" w:rsidP="00000000" w:rsidRDefault="00000000" w:rsidRPr="00000000" w14:paraId="00000019">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Term. This MOU will be in effect un</w:t>
      </w:r>
      <w:r w:rsidDel="00000000" w:rsidR="00000000" w:rsidRPr="00000000">
        <w:rPr>
          <w:rFonts w:ascii="Calibri" w:cs="Calibri" w:eastAsia="Calibri" w:hAnsi="Calibri"/>
          <w:highlight w:val="white"/>
          <w:rtl w:val="0"/>
        </w:rPr>
        <w:t xml:space="preserve">til </w:t>
      </w:r>
      <w:r w:rsidDel="00000000" w:rsidR="00000000" w:rsidRPr="00000000">
        <w:rPr>
          <w:rFonts w:ascii="Calibri" w:cs="Calibri" w:eastAsia="Calibri" w:hAnsi="Calibri"/>
          <w:b w:val="1"/>
          <w:bCs w:val="1"/>
          <w:highlight w:val="white"/>
          <w:rtl w:val="0"/>
        </w:rPr>
        <w:t xml:space="preserve">12 m</w:t>
      </w:r>
      <w:r w:rsidDel="00000000" w:rsidR="00000000" w:rsidRPr="00000000">
        <w:rPr>
          <w:rFonts w:ascii="Calibri" w:cs="Calibri" w:eastAsia="Calibri" w:hAnsi="Calibri"/>
          <w:b w:val="1"/>
          <w:bCs w:val="1"/>
          <w:rtl w:val="0"/>
        </w:rPr>
        <w:t xml:space="preserve">onths</w:t>
      </w:r>
      <w:r w:rsidDel="00000000" w:rsidR="00000000" w:rsidRPr="00000000">
        <w:rPr>
          <w:rFonts w:ascii="Calibri" w:cs="Calibri" w:eastAsia="Calibri" w:hAnsi="Calibri"/>
          <w:rtl w:val="0"/>
        </w:rPr>
        <w:t xml:space="preserve"> following the Effective Date.</w:t>
      </w:r>
    </w:p>
    <w:p w:rsidR="00000000" w:rsidDel="00000000" w:rsidP="00000000" w:rsidRDefault="00000000" w:rsidRPr="00000000" w14:paraId="0000001B">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Mutual Warranties; Disclaimer. Each Party represents and warrants that it has all rights necessary to enter into this MOU and perform its binding obligations hereunder without violating the rights of any other party or applicable law. EXCEPT AS EXPRESSLY SET FORTH IN THIS MOU, THESE WARRANTIES ARE THE PARTIES' EXCLUSIVE WARRANTIES AND REPLACE ALL OTHER WARRANTIES OR CONDITIONS, EXPRESS OR IMPLIED, INCLUDING, BUT NOT LIMITED TO, THE IMPLIED WARRANTIES OR CONDITIONS OF MERCHANTABILITY AND FITNESS FOR A PARTICULAR PURPOSE, ANY IMPLIED WARRANTIES ARISING FROM A COURSE OF DEALING OR A COURSE OF PERFORMANCE, ANY REPRESENTATION OR WARRANTY OF ANY KIND OR NATURE REGARDING THE ACCURACY, RELIABILITY, COMPLETENESS, OR AVAILABILITY OF DATA, AND ANY WARRANTY OR CONDITION OF NON-INFRINGEMENT.</w:t>
      </w:r>
    </w:p>
    <w:p w:rsidR="00000000" w:rsidDel="00000000" w:rsidP="00000000" w:rsidRDefault="00000000" w:rsidRPr="00000000" w14:paraId="0000001D">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Confidentiality. </w:t>
      </w:r>
    </w:p>
    <w:p w:rsidR="00000000" w:rsidDel="00000000" w:rsidP="00000000" w:rsidRDefault="00000000" w:rsidRPr="00000000" w14:paraId="0000001F">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rtl w:val="0"/>
        </w:rPr>
        <w:t xml:space="preserve">Obligations. Each Party will (1) protect the other Party’s Confidential Information with at least the same standard of care it uses to protect its own Confidential Information; and (2) not disclose the Confidential Information, except to affiliates, employees, or authorised agents who need to know it and who are obligated to keep it confidential. Each Party (and any affiliates, employees, or authorised agents to whom it has disclosed Confidential Information) may use Confidential Information only to exercise rights and fulfil obligations under this MOU, while using reasonable care to protect it. For the avoidance of doubt, neither Party may refer to, incorporate, or otherwise use the confidential Information of the other Party to develop or provide products or services not contemplated herein. Each Party is responsible for any actions of its affiliates, employees, and authorised agents in violation of this Section 3.</w:t>
      </w:r>
    </w:p>
    <w:p w:rsidR="00000000" w:rsidDel="00000000" w:rsidP="00000000" w:rsidRDefault="00000000" w:rsidRPr="00000000" w14:paraId="00000021">
      <w:pPr>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rtl w:val="0"/>
        </w:rPr>
        <w:t xml:space="preserve">Exceptions. Confidential Information does not include information that (1) the recipient of the Confidential Information already knew or is in the public domain; (2) becomes public through no fault of the recipient; (3) was independently developed by the recipient; or (4) was rightfully given to the recipient by another party not in violation of any applicable confidentiality protections.</w:t>
      </w:r>
    </w:p>
    <w:p w:rsidR="00000000" w:rsidDel="00000000" w:rsidP="00000000" w:rsidRDefault="00000000" w:rsidRPr="00000000" w14:paraId="00000023">
      <w:pPr>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rtl w:val="0"/>
        </w:rPr>
        <w:t xml:space="preserve">Required Disclosure. The recipient may disclose confidential Information to the extent required by applicable Legal Process; provided that the recipient uses commercially reasonable efforts to (1) promptly notify the other Party of such disclosure before disclosing; and (2) comply with the other Party’s reasonable requests regarding its efforts to oppose the disclosure. Notwithstanding the foregoing, subsections (1) and (2) will not apply if the recipient determines in its sole discretion that complying with subsections (1) and (2) could result in a violation of Legal Process; obstruct a governmental investigation; or lead to death or serious physical harm to an individual.</w:t>
      </w:r>
    </w:p>
    <w:p w:rsidR="00000000" w:rsidDel="00000000" w:rsidP="00000000" w:rsidRDefault="00000000" w:rsidRPr="00000000" w14:paraId="00000025">
      <w:pPr>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rtl w:val="0"/>
        </w:rPr>
        <w:t xml:space="preserve">Definitions. For purposes of this MOU, “</w:t>
      </w:r>
      <w:r w:rsidDel="00000000" w:rsidR="00000000" w:rsidRPr="00000000">
        <w:rPr>
          <w:rFonts w:ascii="Calibri" w:cs="Calibri" w:eastAsia="Calibri" w:hAnsi="Calibri"/>
          <w:b w:val="1"/>
          <w:bCs w:val="1"/>
          <w:rtl w:val="0"/>
        </w:rPr>
        <w:t xml:space="preserve">Confidential Information</w:t>
      </w:r>
      <w:r w:rsidDel="00000000" w:rsidR="00000000" w:rsidRPr="00000000">
        <w:rPr>
          <w:rFonts w:ascii="Calibri" w:cs="Calibri" w:eastAsia="Calibri" w:hAnsi="Calibri"/>
          <w:rtl w:val="0"/>
        </w:rPr>
        <w:t xml:space="preserve">” means this MOU and any information that one Party or its affiliates discloses to the other Party under this MOU and that is marked as confidential or would normally be considered confidential information under the circumstances, and “</w:t>
      </w:r>
      <w:r w:rsidDel="00000000" w:rsidR="00000000" w:rsidRPr="00000000">
        <w:rPr>
          <w:rFonts w:ascii="Calibri" w:cs="Calibri" w:eastAsia="Calibri" w:hAnsi="Calibri"/>
          <w:b w:val="1"/>
          <w:bCs w:val="1"/>
          <w:rtl w:val="0"/>
        </w:rPr>
        <w:t xml:space="preserve">Legal Process</w:t>
      </w:r>
      <w:r w:rsidDel="00000000" w:rsidR="00000000" w:rsidRPr="00000000">
        <w:rPr>
          <w:rFonts w:ascii="Calibri" w:cs="Calibri" w:eastAsia="Calibri" w:hAnsi="Calibri"/>
          <w:rtl w:val="0"/>
        </w:rPr>
        <w:t xml:space="preserve">” means </w:t>
      </w:r>
      <w:r w:rsidDel="00000000" w:rsidR="00000000" w:rsidRPr="00000000">
        <w:rPr>
          <w:rFonts w:ascii="Calibri" w:cs="Calibri" w:eastAsia="Calibri" w:hAnsi="Calibri"/>
          <w:highlight w:val="white"/>
          <w:rtl w:val="0"/>
        </w:rPr>
        <w:t xml:space="preserve">a request for disclosure of data made pursuant to law, governmental regulation, court order, subpoena, warrant, governmental regulatory or agency request, or other valid legal authority, legal procedure, or similar process</w:t>
      </w:r>
      <w:r w:rsidDel="00000000" w:rsidR="00000000" w:rsidRPr="00000000">
        <w:rPr>
          <w:rFonts w:ascii="Calibri" w:cs="Calibri" w:eastAsia="Calibri" w:hAnsi="Calibri"/>
          <w:rtl w:val="0"/>
        </w:rPr>
        <w:t xml:space="preserve">.</w:t>
      </w:r>
    </w:p>
    <w:p w:rsidR="00000000" w:rsidDel="00000000" w:rsidP="00000000" w:rsidRDefault="00000000" w:rsidRPr="00000000" w14:paraId="00000027">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8">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Injunctive Relief.</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Parties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agree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in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event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of</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breach</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of</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this Section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money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damages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may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not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be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adequate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remedy.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In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such an event,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the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aggrieved</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Party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may,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in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addition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to</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such</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other</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equitable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legal</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relief</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that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may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be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available,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seek</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injunctive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relief</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by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court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of</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competent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rtl w:val="0"/>
        </w:rPr>
        <w:t xml:space="preserve">jurisdiction as a remedy for any such breach.</w:t>
      </w:r>
    </w:p>
    <w:p w:rsidR="00000000" w:rsidDel="00000000" w:rsidP="00000000" w:rsidRDefault="00000000" w:rsidRPr="00000000" w14:paraId="00000029">
      <w:pPr>
        <w:ind w:left="144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A">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Intellectual Property Rights. Any intellectual property licences will be expressly provided for in the Definitive Agreement. No licences are granted under this MOU, and the Parties will not create any joint intellectual property under this MOU. Notwithstanding the above, in the event joint intellectual property is created by operation of law, both Parties hereby waive any duty of accounting for such joint intellectual property.</w:t>
      </w:r>
    </w:p>
    <w:p w:rsidR="00000000" w:rsidDel="00000000" w:rsidP="00000000" w:rsidRDefault="00000000" w:rsidRPr="00000000" w14:paraId="0000002B">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Publicity. </w:t>
      </w:r>
    </w:p>
    <w:p w:rsidR="00000000" w:rsidDel="00000000" w:rsidP="00000000" w:rsidRDefault="00000000" w:rsidRPr="00000000" w14:paraId="0000002D">
      <w:pPr>
        <w:numPr>
          <w:ilvl w:val="2"/>
          <w:numId w:val="4"/>
        </w:numPr>
        <w:ind w:left="2160" w:hanging="180"/>
        <w:jc w:val="both"/>
        <w:rPr>
          <w:rFonts w:ascii="Calibri" w:cs="Calibri" w:eastAsia="Calibri" w:hAnsi="Calibri"/>
          <w:i w:val="1"/>
          <w:iCs w:val="1"/>
        </w:rPr>
      </w:pPr>
      <w:r w:rsidDel="00000000" w:rsidR="00000000" w:rsidRPr="00000000">
        <w:rPr>
          <w:rFonts w:ascii="Calibri" w:cs="Calibri" w:eastAsia="Calibri" w:hAnsi="Calibri"/>
          <w:rtl w:val="0"/>
        </w:rPr>
        <w:t xml:space="preserve">Neither Party may issue a news release, public announcement, advertisement, or any other form of publicity with respect to the relationship between the parties under this MOU without the other Party’s prior written consent</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02E">
      <w:pPr>
        <w:ind w:left="216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F">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u w:val="single"/>
          <w:rtl w:val="0"/>
        </w:rPr>
        <w:t xml:space="preserve">Right to Brand Features</w:t>
      </w:r>
      <w:r w:rsidDel="00000000" w:rsidR="00000000" w:rsidRPr="00000000">
        <w:rPr>
          <w:rFonts w:ascii="Calibri" w:cs="Calibri" w:eastAsia="Calibri" w:hAnsi="Calibri"/>
          <w:rtl w:val="0"/>
        </w:rPr>
        <w:t xml:space="preserve">. Subject to Section 3 (f) (i), </w:t>
      </w:r>
      <w:r w:rsidDel="00000000" w:rsidR="00000000" w:rsidRPr="00000000">
        <w:rPr>
          <w:rFonts w:ascii="Calibri" w:cs="Calibri" w:eastAsia="Calibri" w:hAnsi="Calibri"/>
          <w:highlight w:val="white"/>
          <w:rtl w:val="0"/>
        </w:rPr>
        <w:t xml:space="preserve">Government </w:t>
      </w:r>
      <w:r w:rsidDel="00000000" w:rsidR="00000000" w:rsidRPr="00000000">
        <w:rPr>
          <w:rFonts w:ascii="Calibri" w:cs="Calibri" w:eastAsia="Calibri" w:hAnsi="Calibri"/>
          <w:rtl w:val="0"/>
        </w:rPr>
        <w:t xml:space="preserve">extends to Google, the right to use its logo and affiliation as per the scope of this MoU for joint marketing of the programs called out in Annexure A of this MoU, for the duration of the MoU.</w:t>
      </w:r>
    </w:p>
    <w:p w:rsidR="00000000" w:rsidDel="00000000" w:rsidP="00000000" w:rsidRDefault="00000000" w:rsidRPr="00000000" w14:paraId="00000030">
      <w:pPr>
        <w:ind w:left="720" w:hanging="360"/>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31">
      <w:pPr>
        <w:numPr>
          <w:ilvl w:val="2"/>
          <w:numId w:val="4"/>
        </w:numPr>
        <w:ind w:left="2160" w:hanging="180"/>
        <w:jc w:val="both"/>
        <w:rPr>
          <w:rFonts w:ascii="Calibri" w:cs="Calibri" w:eastAsia="Calibri" w:hAnsi="Calibri"/>
        </w:rPr>
      </w:pPr>
      <w:r w:rsidDel="00000000" w:rsidR="00000000" w:rsidRPr="00000000">
        <w:rPr>
          <w:rFonts w:ascii="Calibri" w:cs="Calibri" w:eastAsia="Calibri" w:hAnsi="Calibri"/>
          <w:u w:val="single"/>
          <w:rtl w:val="0"/>
        </w:rPr>
        <w:t xml:space="preserve">Right to Google’s Brand Features</w:t>
      </w:r>
      <w:r w:rsidDel="00000000" w:rsidR="00000000" w:rsidRPr="00000000">
        <w:rPr>
          <w:rFonts w:ascii="Calibri" w:cs="Calibri" w:eastAsia="Calibri" w:hAnsi="Calibri"/>
          <w:rtl w:val="0"/>
        </w:rPr>
        <w:t xml:space="preserve">. Subject to Section 3 (f) (i), Google grants to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a limited, non-exclusive and non-sublicensable licence for the duration of the MOU to display the Google Brand Features provided by Google to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for the purposes of  joint marketing of the programs called out in Annexure A of this MoU, subject to the Google Brand Features Guidelines at http://www.google.com/permissions/ (or such other URL as Google may specify) and any restrictions specified by Google. Google may revoke this licence by providing the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with written notice and a reasonable period of time to cease such usage. All goodwill arising from the use by the </w:t>
      </w:r>
      <w:r w:rsidDel="00000000" w:rsidR="00000000" w:rsidRPr="00000000">
        <w:rPr>
          <w:rFonts w:ascii="Calibri" w:cs="Calibri" w:eastAsia="Calibri" w:hAnsi="Calibri"/>
          <w:highlight w:val="white"/>
          <w:rtl w:val="0"/>
        </w:rPr>
        <w:t xml:space="preserve">Government</w:t>
      </w:r>
      <w:r w:rsidDel="00000000" w:rsidR="00000000" w:rsidRPr="00000000">
        <w:rPr>
          <w:rFonts w:ascii="Calibri" w:cs="Calibri" w:eastAsia="Calibri" w:hAnsi="Calibri"/>
          <w:rtl w:val="0"/>
        </w:rPr>
        <w:t xml:space="preserve"> of Google’s Brand Features will belong to Google. </w:t>
      </w:r>
    </w:p>
    <w:p w:rsidR="00000000" w:rsidDel="00000000" w:rsidP="00000000" w:rsidRDefault="00000000" w:rsidRPr="00000000" w14:paraId="00000032">
      <w:pPr>
        <w:ind w:left="144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33">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Governing Law. This MOU will be governed by the laws of India and the courts in New Delhi will have exclusive jurisdiction to entertain any dispute with regards to this MOU. The Parties will try in good faith to settle any dispute relating to this MOU within thirty days after such dispute arises.</w:t>
      </w:r>
    </w:p>
    <w:p w:rsidR="00000000" w:rsidDel="00000000" w:rsidP="00000000" w:rsidRDefault="00000000" w:rsidRPr="00000000" w14:paraId="00000034">
      <w:pPr>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numPr>
          <w:ilvl w:val="1"/>
          <w:numId w:val="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Execution. The parties may execute this Agreement using electronic signatures, electronic copies, and counterparts. Any amendment must be in writing, signed by both parties, and expressly state that it is amending this Agreement. If any provision (or part of a provision) of this Agreement is held to be invalid, illegal or unenforceable, the rest of this Agreement will remain in effect.</w:t>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b w:val="1"/>
          <w:bCs w:val="1"/>
          <w:rtl w:val="0"/>
        </w:rPr>
        <w:t xml:space="preserve">IN WITNESS WHEREOF</w:t>
      </w:r>
      <w:r w:rsidDel="00000000" w:rsidR="00000000" w:rsidRPr="00000000">
        <w:rPr>
          <w:rFonts w:ascii="Calibri" w:cs="Calibri" w:eastAsia="Calibri" w:hAnsi="Calibri"/>
          <w:rtl w:val="0"/>
        </w:rPr>
        <w:t xml:space="preserve"> the Parties have executed this agreement as of the date last signed below.</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Agreed and accepted by:</w:t>
        <w:tab/>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ab/>
        <w:tab/>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Google LLC</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By: _________________________</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150"/>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Name: ______________________</w:t>
              <w:tab/>
              <w:t xml:space="preserve"> </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Title: ________________________ </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Date: ________________________</w:t>
            </w:r>
          </w:p>
        </w:tc>
        <w:tc>
          <w:tcPr/>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Government of Chhattisgarh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By: _________________________</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tabs>
                <w:tab w:val="left" w:leader="none" w:pos="916"/>
                <w:tab w:val="left" w:leader="none" w:pos="1832"/>
                <w:tab w:val="left" w:leader="none" w:pos="2748"/>
                <w:tab w:val="left" w:leader="none" w:pos="3150"/>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Name: ______________________</w:t>
              <w:tab/>
              <w:t xml:space="preserve"> </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Title: ________________________ </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Fonts w:ascii="Calibri" w:cs="Calibri" w:eastAsia="Calibri" w:hAnsi="Calibri"/>
                <w:rtl w:val="0"/>
              </w:rPr>
              <w:t xml:space="preserve">Date: ________________________</w:t>
            </w:r>
          </w:p>
        </w:tc>
      </w:tr>
    </w:tbl>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0">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Annexure A</w:t>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Scope of Collaboration</w:t>
      </w:r>
    </w:p>
    <w:p w:rsidR="00000000" w:rsidDel="00000000" w:rsidP="00000000" w:rsidRDefault="00000000" w:rsidRPr="00000000" w14:paraId="00000053">
      <w:pPr>
        <w:numPr>
          <w:ilvl w:val="0"/>
          <w:numId w:val="1"/>
        </w:numPr>
        <w:ind w:left="360" w:hanging="360"/>
        <w:jc w:val="both"/>
        <w:rPr>
          <w:rFonts w:ascii="Calibri" w:cs="Calibri" w:eastAsia="Calibri" w:hAnsi="Calibri"/>
        </w:rPr>
      </w:pPr>
      <w:r w:rsidDel="00000000" w:rsidR="00000000" w:rsidRPr="00000000">
        <w:rPr>
          <w:rFonts w:ascii="Calibri" w:cs="Calibri" w:eastAsia="Calibri" w:hAnsi="Calibri"/>
          <w:u w:val="single"/>
          <w:rtl w:val="0"/>
        </w:rPr>
        <w:t xml:space="preserve">Preferred Partnership and Long-term Engagement</w:t>
      </w:r>
      <w:r w:rsidDel="00000000" w:rsidR="00000000" w:rsidRPr="00000000">
        <w:rPr>
          <w:rFonts w:ascii="Calibri" w:cs="Calibri" w:eastAsia="Calibri" w:hAnsi="Calibri"/>
          <w:rtl w:val="0"/>
        </w:rPr>
        <w:t xml:space="preserve">: The Government acknowledges Google as a preferred partner in its cloud adoption strategy. Google will be granted the opportunity to collaborate closely in the early stages of cloud policy implementation and data centre revamp initiatives, with the potential for long-term engagement across various sectors. Google on its own or its affiliates or service providers will also provide knowledge sessions on sovereign cloud solutions, such as Google Distributed Cloud, to state officials from various departments to support their cloud adoption journey.</w:t>
      </w:r>
    </w:p>
    <w:p w:rsidR="00000000" w:rsidDel="00000000" w:rsidP="00000000" w:rsidRDefault="00000000" w:rsidRPr="00000000" w14:paraId="00000054">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numPr>
          <w:ilvl w:val="0"/>
          <w:numId w:val="1"/>
        </w:numPr>
        <w:ind w:left="360" w:hanging="360"/>
        <w:jc w:val="both"/>
        <w:rPr>
          <w:rFonts w:ascii="Calibri" w:cs="Calibri" w:eastAsia="Calibri" w:hAnsi="Calibri"/>
        </w:rPr>
      </w:pPr>
      <w:r w:rsidDel="00000000" w:rsidR="00000000" w:rsidRPr="00000000">
        <w:rPr>
          <w:rFonts w:ascii="Calibri" w:cs="Calibri" w:eastAsia="Calibri" w:hAnsi="Calibri"/>
          <w:u w:val="single"/>
          <w:rtl w:val="0"/>
        </w:rPr>
        <w:t xml:space="preserve">Cloud Empanelment and Policy Advisory</w:t>
      </w:r>
      <w:r w:rsidDel="00000000" w:rsidR="00000000" w:rsidRPr="00000000">
        <w:rPr>
          <w:rFonts w:ascii="Calibri" w:cs="Calibri" w:eastAsia="Calibri" w:hAnsi="Calibri"/>
          <w:rtl w:val="0"/>
        </w:rPr>
        <w:t xml:space="preserve">: Google will offer advisory support in the development of Government of Chhattisgarh Cloud Adoption Policy, ensuring it incorporates global best practices in data sovereignty, security, compliance, and innovation. In addition, Google will share best practices on data classification for public cloud usage with the Government. </w:t>
      </w:r>
    </w:p>
    <w:p w:rsidR="00000000" w:rsidDel="00000000" w:rsidP="00000000" w:rsidRDefault="00000000" w:rsidRPr="00000000" w14:paraId="00000056">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numPr>
          <w:ilvl w:val="0"/>
          <w:numId w:val="1"/>
        </w:numPr>
        <w:ind w:left="360" w:hanging="360"/>
        <w:jc w:val="both"/>
        <w:rPr>
          <w:rFonts w:ascii="Calibri" w:cs="Calibri" w:eastAsia="Calibri" w:hAnsi="Calibri"/>
        </w:rPr>
      </w:pPr>
      <w:r w:rsidDel="00000000" w:rsidR="00000000" w:rsidRPr="00000000">
        <w:rPr>
          <w:rFonts w:ascii="Calibri" w:cs="Calibri" w:eastAsia="Calibri" w:hAnsi="Calibri"/>
          <w:u w:val="single"/>
          <w:rtl w:val="0"/>
        </w:rPr>
        <w:t xml:space="preserve">Pilot Projects and Strategic Initiatives</w:t>
      </w:r>
      <w:r w:rsidDel="00000000" w:rsidR="00000000" w:rsidRPr="00000000">
        <w:rPr>
          <w:rFonts w:ascii="Calibri" w:cs="Calibri" w:eastAsia="Calibri" w:hAnsi="Calibri"/>
          <w:rtl w:val="0"/>
        </w:rPr>
        <w:t xml:space="preserve">: Both parties agree to collaborate to explore pilot projects (“</w:t>
      </w:r>
      <w:r w:rsidDel="00000000" w:rsidR="00000000" w:rsidRPr="00000000">
        <w:rPr>
          <w:rFonts w:ascii="Calibri" w:cs="Calibri" w:eastAsia="Calibri" w:hAnsi="Calibri"/>
          <w:b w:val="1"/>
          <w:bCs w:val="1"/>
          <w:rtl w:val="0"/>
        </w:rPr>
        <w:t xml:space="preserve">POCs</w:t>
      </w:r>
      <w:r w:rsidDel="00000000" w:rsidR="00000000" w:rsidRPr="00000000">
        <w:rPr>
          <w:rFonts w:ascii="Calibri" w:cs="Calibri" w:eastAsia="Calibri" w:hAnsi="Calibri"/>
          <w:rtl w:val="0"/>
        </w:rPr>
        <w:t xml:space="preserve">”) in key sectors such as education, healthcare, traffic management etc. These projects will demonstrate the benefits of cloud technology and serve as a foundation for broader implementations across the state. </w:t>
      </w:r>
    </w:p>
    <w:p w:rsidR="00000000" w:rsidDel="00000000" w:rsidP="00000000" w:rsidRDefault="00000000" w:rsidRPr="00000000" w14:paraId="00000058">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POCs could include: </w:t>
      </w:r>
    </w:p>
    <w:p w:rsidR="00000000" w:rsidDel="00000000" w:rsidP="00000000" w:rsidRDefault="00000000" w:rsidRPr="00000000" w14:paraId="0000005A">
      <w:pPr>
        <w:widowControl w:val="0"/>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Pilot AI/ML based applications leveraging Google Cloud AI/ML tools for citizen’s grievance redressal, government schemes, conversational farmer assistants from seed to market journey and other agricultural sector use cases </w:t>
      </w:r>
    </w:p>
    <w:p w:rsidR="00000000" w:rsidDel="00000000" w:rsidP="00000000" w:rsidRDefault="00000000" w:rsidRPr="00000000" w14:paraId="0000005C">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AI-powered video analytics to enable automated traffic violation detection, and situational awareness aimed at enhancing road safety, optimize traffic flow, and support law enforcement with data-driven insights.</w:t>
      </w:r>
    </w:p>
    <w:p w:rsidR="00000000" w:rsidDel="00000000" w:rsidP="00000000" w:rsidRDefault="00000000" w:rsidRPr="00000000" w14:paraId="0000005E">
      <w:pPr>
        <w:widowControl w:val="0"/>
        <w:ind w:left="2160" w:firstLine="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5F">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Leveraging AI and cloud computing, ITMS to enable dynamic traffic signal control, congestion prediction, and emergency response coordination. This will reduce travel time, lower emissions, and improve urban mobility.</w:t>
      </w:r>
    </w:p>
    <w:p w:rsidR="00000000" w:rsidDel="00000000" w:rsidP="00000000" w:rsidRDefault="00000000" w:rsidRPr="00000000" w14:paraId="00000060">
      <w:pPr>
        <w:widowControl w:val="0"/>
        <w:ind w:left="2160" w:firstLine="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1">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 cloud-based bus management platform to optimize fleet operations, monitor service efficiency, and enhance commuter experience with real-time schedules, predictive maintenance, and digital ticketing integration.</w:t>
      </w:r>
    </w:p>
    <w:p w:rsidR="00000000" w:rsidDel="00000000" w:rsidP="00000000" w:rsidRDefault="00000000" w:rsidRPr="00000000" w14:paraId="00000062">
      <w:pPr>
        <w:widowControl w:val="0"/>
        <w:ind w:left="2160" w:firstLine="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3">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Google Maps-based AI-enabled tracking for providing live location updates, route optimization, and operational analytics for public transport vehicles to ensure transparency, improve fleet utilization, and enhance public transport service.</w:t>
      </w:r>
    </w:p>
    <w:p w:rsidR="00000000" w:rsidDel="00000000" w:rsidP="00000000" w:rsidRDefault="00000000" w:rsidRPr="00000000" w14:paraId="00000064">
      <w:pPr>
        <w:widowControl w:val="0"/>
        <w:ind w:left="2160" w:firstLine="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5">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AI-driven </w:t>
      </w:r>
      <w:r w:rsidDel="00000000" w:rsidR="00000000" w:rsidRPr="00000000">
        <w:rPr>
          <w:rFonts w:ascii="Calibri" w:cs="Calibri" w:eastAsia="Calibri" w:hAnsi="Calibri"/>
          <w:rtl w:val="0"/>
        </w:rPr>
        <w:t xml:space="preserve">Website Summarization and Modernization using Google Cloud AI/ML tools</w:t>
      </w:r>
      <w:r w:rsidDel="00000000" w:rsidR="00000000" w:rsidRPr="00000000">
        <w:rPr>
          <w:rFonts w:ascii="Calibri" w:cs="Calibri" w:eastAsia="Calibri" w:hAnsi="Calibri"/>
          <w:color w:val="202124"/>
          <w:highlight w:val="white"/>
          <w:rtl w:val="0"/>
        </w:rPr>
        <w:t xml:space="preserve">.</w:t>
      </w:r>
    </w:p>
    <w:p w:rsidR="00000000" w:rsidDel="00000000" w:rsidP="00000000" w:rsidRDefault="00000000" w:rsidRPr="00000000" w14:paraId="00000066">
      <w:pPr>
        <w:widowControl w:val="0"/>
        <w:ind w:left="2160" w:firstLine="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7">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An AI-powered search and agent to assist government officials by providing instant responses, summarizing policies, and enhancing accessibility through intelligent search capabilities.</w:t>
      </w:r>
    </w:p>
    <w:p w:rsidR="00000000" w:rsidDel="00000000" w:rsidP="00000000" w:rsidRDefault="00000000" w:rsidRPr="00000000" w14:paraId="00000068">
      <w:pPr>
        <w:widowControl w:val="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9">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AI-based multilingual translation to enable seamless communication across languages, ensuring better accessibility of government information and services to all citizens.</w:t>
      </w:r>
    </w:p>
    <w:p w:rsidR="00000000" w:rsidDel="00000000" w:rsidP="00000000" w:rsidRDefault="00000000" w:rsidRPr="00000000" w14:paraId="0000006A">
      <w:pPr>
        <w:widowControl w:val="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B">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 localized AI-powered voice and text assistant tailored for India’s diverse linguistic landscape to enhance digital interactions, offering voice-based search, document generation, and smart assistance.</w:t>
      </w:r>
    </w:p>
    <w:p w:rsidR="00000000" w:rsidDel="00000000" w:rsidP="00000000" w:rsidRDefault="00000000" w:rsidRPr="00000000" w14:paraId="0000006C">
      <w:pPr>
        <w:widowControl w:val="0"/>
        <w:jc w:val="both"/>
        <w:rPr>
          <w:rFonts w:ascii="Calibri" w:cs="Calibri" w:eastAsia="Calibri" w:hAnsi="Calibri"/>
          <w:color w:val="202124"/>
          <w:highlight w:val="white"/>
        </w:rPr>
      </w:pPr>
      <w:r w:rsidDel="00000000" w:rsidR="00000000" w:rsidRPr="00000000">
        <w:rPr>
          <w:rtl w:val="0"/>
        </w:rPr>
      </w:r>
    </w:p>
    <w:p w:rsidR="00000000" w:rsidDel="00000000" w:rsidP="00000000" w:rsidRDefault="00000000" w:rsidRPr="00000000" w14:paraId="0000006D">
      <w:pPr>
        <w:widowControl w:val="0"/>
        <w:numPr>
          <w:ilvl w:val="2"/>
          <w:numId w:val="1"/>
        </w:numPr>
        <w:ind w:left="2160" w:hanging="360"/>
        <w:jc w:val="both"/>
        <w:rPr>
          <w:rFonts w:ascii="Calibri" w:cs="Calibri" w:eastAsia="Calibri" w:hAnsi="Calibri"/>
          <w:color w:val="202124"/>
          <w:highlight w:val="white"/>
        </w:rPr>
      </w:pPr>
      <w:r w:rsidDel="00000000" w:rsidR="00000000" w:rsidRPr="00000000">
        <w:rPr>
          <w:rFonts w:ascii="Calibri" w:cs="Calibri" w:eastAsia="Calibri" w:hAnsi="Calibri"/>
          <w:color w:val="202124"/>
          <w:highlight w:val="white"/>
          <w:rtl w:val="0"/>
        </w:rPr>
        <w:t xml:space="preserve">AI-powered automation will streamline grievance handling by categorizing grievances, and providing real-time resolution tracking, ensuring better public service delivery.</w:t>
      </w:r>
    </w:p>
    <w:p w:rsidR="00000000" w:rsidDel="00000000" w:rsidP="00000000" w:rsidRDefault="00000000" w:rsidRPr="00000000" w14:paraId="0000006E">
      <w:pPr>
        <w:widowControl w:val="0"/>
        <w:ind w:left="216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F">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With respect to citizen services, create a unified data hub leveraging Google Cloud AI/ML Tools.</w:t>
      </w:r>
    </w:p>
    <w:p w:rsidR="00000000" w:rsidDel="00000000" w:rsidP="00000000" w:rsidRDefault="00000000" w:rsidRPr="00000000" w14:paraId="00000070">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Creation of a People Empowerment Platform that will provide citizens with access to authentic information and probable solutions to meet their everyday needs which leverages Google Cloud AI/ML Tools. The platform will also enable the Government to run targeted campaigns for awareness and adoption of government schemes which leverages Google AI/ML Tools. </w:t>
      </w:r>
    </w:p>
    <w:p w:rsidR="00000000" w:rsidDel="00000000" w:rsidP="00000000" w:rsidRDefault="00000000" w:rsidRPr="00000000" w14:paraId="00000072">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Hospital Management Information System-Health Platform for the state hospitals.</w:t>
      </w:r>
    </w:p>
    <w:p w:rsidR="00000000" w:rsidDel="00000000" w:rsidP="00000000" w:rsidRDefault="00000000" w:rsidRPr="00000000" w14:paraId="00000074">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Maps integration to aid better discoverability of health services and, surfacing appointments </w:t>
      </w:r>
    </w:p>
    <w:p w:rsidR="00000000" w:rsidDel="00000000" w:rsidP="00000000" w:rsidRDefault="00000000" w:rsidRPr="00000000" w14:paraId="00000076">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Catalog digitization, RFP proposal builder.</w:t>
      </w:r>
    </w:p>
    <w:p w:rsidR="00000000" w:rsidDel="00000000" w:rsidP="00000000" w:rsidRDefault="00000000" w:rsidRPr="00000000" w14:paraId="00000078">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Speech to speech translation</w:t>
      </w:r>
    </w:p>
    <w:p w:rsidR="00000000" w:rsidDel="00000000" w:rsidP="00000000" w:rsidRDefault="00000000" w:rsidRPr="00000000" w14:paraId="0000007A">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Healthcare Claims Automation</w:t>
      </w:r>
    </w:p>
    <w:p w:rsidR="00000000" w:rsidDel="00000000" w:rsidP="00000000" w:rsidRDefault="00000000" w:rsidRPr="00000000" w14:paraId="0000007C">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TeleICU, Patient vitals using AI enabled hospital beds &amp; Vidya Samikhsha Kendra.</w:t>
      </w:r>
    </w:p>
    <w:p w:rsidR="00000000" w:rsidDel="00000000" w:rsidP="00000000" w:rsidRDefault="00000000" w:rsidRPr="00000000" w14:paraId="0000007E">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0"/>
        <w:numPr>
          <w:ilvl w:val="2"/>
          <w:numId w:val="1"/>
        </w:numPr>
        <w:ind w:left="2160" w:hanging="360"/>
        <w:jc w:val="both"/>
        <w:rPr>
          <w:rFonts w:ascii="Calibri" w:cs="Calibri" w:eastAsia="Calibri" w:hAnsi="Calibri"/>
        </w:rPr>
      </w:pPr>
      <w:r w:rsidDel="00000000" w:rsidR="00000000" w:rsidRPr="00000000">
        <w:rPr>
          <w:rFonts w:ascii="Calibri" w:cs="Calibri" w:eastAsia="Calibri" w:hAnsi="Calibri"/>
          <w:rtl w:val="0"/>
        </w:rPr>
        <w:t xml:space="preserve">In the sports segment, AI Coach will help in extending their proven Sports Management System beyond elite athletes to school &amp; state programs. These AI coaches offer personalized coaching, real time performance analysis and injury prevention advice, helping young athletes to reach their full potential and transforming grassroot sports development.</w:t>
      </w:r>
    </w:p>
    <w:p w:rsidR="00000000" w:rsidDel="00000000" w:rsidP="00000000" w:rsidRDefault="00000000" w:rsidRPr="00000000" w14:paraId="00000080">
      <w:pPr>
        <w:widowControl w:val="0"/>
        <w:ind w:left="21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widowControl w:val="0"/>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The usage of any aforementioned pilot use cases, platforms or applications developed will also be subject to the terms and conditions of the third-party partner who will collaborate in the build of these cases/applications. Google Cloud’s role would be to provide Cloud based AI/ML technologies as per the mutually agreed terms. Such terms and conditions with respect to the utilisation of the pilot use cases, platforms and applications and the associated Google Cloud services for production and consumption purposes will be set out in the Definitive Agreements.</w:t>
      </w:r>
    </w:p>
    <w:p w:rsidR="00000000" w:rsidDel="00000000" w:rsidP="00000000" w:rsidRDefault="00000000" w:rsidRPr="00000000" w14:paraId="00000082">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widowControl w:val="0"/>
        <w:numPr>
          <w:ilvl w:val="0"/>
          <w:numId w:val="1"/>
        </w:numPr>
        <w:ind w:left="360" w:hanging="360"/>
        <w:jc w:val="both"/>
        <w:rPr>
          <w:rFonts w:ascii="Calibri" w:cs="Calibri" w:eastAsia="Calibri" w:hAnsi="Calibri"/>
        </w:rPr>
      </w:pPr>
      <w:r w:rsidDel="00000000" w:rsidR="00000000" w:rsidRPr="00000000">
        <w:rPr>
          <w:rFonts w:ascii="Calibri" w:cs="Calibri" w:eastAsia="Calibri" w:hAnsi="Calibri"/>
          <w:u w:val="single"/>
          <w:rtl w:val="0"/>
        </w:rPr>
        <w:t xml:space="preserve">Sovereign Cloud</w:t>
      </w:r>
      <w:r w:rsidDel="00000000" w:rsidR="00000000" w:rsidRPr="00000000">
        <w:rPr>
          <w:rFonts w:ascii="Calibri" w:cs="Calibri" w:eastAsia="Calibri" w:hAnsi="Calibri"/>
          <w:rtl w:val="0"/>
        </w:rPr>
        <w:t xml:space="preserve"> - Google will share concept notes (slides) for Google Distributed Cloud (GDC) solutions. The Government will explore incorporating the same for their State Data Center expansion/ modernization for running GenAI Workloads. Google will also provide knowledge sessions about sovereign cloud solutions such as Google Distributed Cloud to the Government officials of its identified departments.</w:t>
      </w:r>
    </w:p>
    <w:p w:rsidR="00000000" w:rsidDel="00000000" w:rsidP="00000000" w:rsidRDefault="00000000" w:rsidRPr="00000000" w14:paraId="00000084">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widowControl w:val="0"/>
        <w:numPr>
          <w:ilvl w:val="0"/>
          <w:numId w:val="1"/>
        </w:numPr>
        <w:ind w:left="360" w:hanging="360"/>
        <w:jc w:val="both"/>
        <w:rPr>
          <w:rFonts w:ascii="Calibri" w:cs="Calibri" w:eastAsia="Calibri" w:hAnsi="Calibri"/>
        </w:rPr>
      </w:pPr>
      <w:r w:rsidDel="00000000" w:rsidR="00000000" w:rsidRPr="00000000">
        <w:rPr>
          <w:rFonts w:ascii="Calibri" w:cs="Calibri" w:eastAsia="Calibri" w:hAnsi="Calibri"/>
          <w:u w:val="single"/>
          <w:rtl w:val="0"/>
        </w:rPr>
        <w:t xml:space="preserve">Skill &amp; Education</w:t>
      </w:r>
      <w:r w:rsidDel="00000000" w:rsidR="00000000" w:rsidRPr="00000000">
        <w:rPr>
          <w:rFonts w:ascii="Calibri" w:cs="Calibri" w:eastAsia="Calibri" w:hAnsi="Calibri"/>
          <w:rtl w:val="0"/>
        </w:rPr>
        <w:t xml:space="preserve">: As part of our commitment to supporting the Government’s government and workforce development initiatives, Google is pleased to offer the following skilling and certification programs:</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0"/>
        <w:numPr>
          <w:ilvl w:val="1"/>
          <w:numId w:val="1"/>
        </w:numPr>
        <w:ind w:left="1418" w:hanging="284.00000000000006"/>
        <w:jc w:val="both"/>
        <w:rPr>
          <w:rFonts w:ascii="Calibri" w:cs="Calibri" w:eastAsia="Calibri" w:hAnsi="Calibri"/>
        </w:rPr>
      </w:pPr>
      <w:r w:rsidDel="00000000" w:rsidR="00000000" w:rsidRPr="00000000">
        <w:rPr>
          <w:rFonts w:ascii="Calibri" w:cs="Calibri" w:eastAsia="Calibri" w:hAnsi="Calibri"/>
          <w:rtl w:val="0"/>
        </w:rPr>
        <w:t xml:space="preserve">Google and the Government will collaborate to provide skilling programs to enable effective and responsible development, deployment, and usage of AI applications by government agencies. Google Cloud will help facilitate learning for 500 cloud and ML engineers across various Government ministries.</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0"/>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u w:val="single"/>
          <w:rtl w:val="0"/>
        </w:rPr>
        <w:t xml:space="preserve">Google Cloud Certifications and Skill Badges</w:t>
      </w:r>
      <w:r w:rsidDel="00000000" w:rsidR="00000000" w:rsidRPr="00000000">
        <w:rPr>
          <w:rFonts w:ascii="Calibri" w:cs="Calibri" w:eastAsia="Calibri" w:hAnsi="Calibri"/>
          <w:rtl w:val="0"/>
        </w:rPr>
        <w:t xml:space="preserve">: Google Cloud provides a range of certifications and skill badges that allow individuals to demonstrate their proficiency in critical areas such as cybersecurity, data analytics, cloud engineering, and generative AI. These credentials will help build a highly skilled workforce ready to meet the demands of the digital economy.</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0"/>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u w:val="single"/>
          <w:rtl w:val="0"/>
        </w:rPr>
        <w:t xml:space="preserve">Support for Educational Institutions</w:t>
      </w:r>
      <w:r w:rsidDel="00000000" w:rsidR="00000000" w:rsidRPr="00000000">
        <w:rPr>
          <w:rFonts w:ascii="Calibri" w:cs="Calibri" w:eastAsia="Calibri" w:hAnsi="Calibri"/>
          <w:rtl w:val="0"/>
        </w:rPr>
        <w:t xml:space="preserve">: Google Cloud acknowledges the challenges faced by faculty and instructors in rapidly evolving fields like cloud computing. To assist, Google will offer resources and support to help educators develop and maintain curricula, even with constraints such as limited faculty capacity, teaching assistant availability, and classroom space. This initiative is designed to meet the growing demand for computer science and related courses</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widowControl w:val="0"/>
        <w:numPr>
          <w:ilvl w:val="1"/>
          <w:numId w:val="1"/>
        </w:numPr>
        <w:ind w:left="1440" w:hanging="360"/>
        <w:jc w:val="both"/>
        <w:rPr>
          <w:rFonts w:ascii="Calibri" w:cs="Calibri" w:eastAsia="Calibri" w:hAnsi="Calibri"/>
        </w:rPr>
      </w:pPr>
      <w:r w:rsidDel="00000000" w:rsidR="00000000" w:rsidRPr="00000000">
        <w:rPr>
          <w:rFonts w:ascii="Calibri" w:cs="Calibri" w:eastAsia="Calibri" w:hAnsi="Calibri"/>
          <w:u w:val="single"/>
          <w:rtl w:val="0"/>
        </w:rPr>
        <w:t xml:space="preserve">Upskilling healthcare workers</w:t>
      </w:r>
      <w:r w:rsidDel="00000000" w:rsidR="00000000" w:rsidRPr="00000000">
        <w:rPr>
          <w:rFonts w:ascii="Calibri" w:cs="Calibri" w:eastAsia="Calibri" w:hAnsi="Calibri"/>
          <w:rtl w:val="0"/>
        </w:rPr>
        <w:t xml:space="preserve">: Courses can be designed in partnership with a state approved body to ensure upskilling of nurses, allied healthcare workers, physicians e.g., a course on judicious antibiotic use can be designed.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ind w:left="2160" w:firstLine="0"/>
        <w:jc w:val="both"/>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8F">
      <w:pPr>
        <w:widowControl w:val="0"/>
        <w:spacing w:line="240" w:lineRule="auto"/>
        <w:ind w:left="1440" w:firstLine="0"/>
        <w:jc w:val="both"/>
        <w:rPr>
          <w:rFonts w:ascii="Calibri" w:cs="Calibri" w:eastAsia="Calibri" w:hAnsi="Calibri"/>
        </w:rPr>
      </w:pPr>
      <w:r w:rsidDel="00000000" w:rsidR="00000000" w:rsidRPr="00000000">
        <w:rPr>
          <w:rtl w:val="0"/>
        </w:rPr>
      </w:r>
    </w:p>
    <w:sectPr>
      <w:headerReference r:id="rId8" w:type="default"/>
      <w:headerReference r:id="rId9" w:type="first"/>
      <w:headerReference r:id="rId10" w:type="even"/>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ind w:left="720" w:right="-36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pict>
        <v:shape id="PowerPlusWaterMarkObject3" style="position:absolute;width:488.8pt;height:171.05pt;rotation:315;z-index:-503316481;mso-position-horizontal-relative:margin;mso-position-horizontal:center;mso-position-vertical-relative:margin;mso-position-vertical:center;" fillcolor="#c0c0c0" stroked="f" type="#_x0000_t136">
          <v:fill angle="0" opacity="65536f"/>
          <v:textpath fitshape="t" string="DRAFT" style="font-family:&amp;quot;&quot;&amp;quot&quot;&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pict>
        <v:shape id="PowerPlusWaterMarkObject1" style="position:absolute;width:488.8pt;height:171.05pt;rotation:315;z-index:-503316481;mso-position-horizontal-relative:margin;mso-position-horizontal:absolute;margin-left:-133.5pt;mso-position-vertical-relative:margin;mso-position-vertical:absolute;margin-top:4456.399921259842pt;" fillcolor="#c0c0c0" stroked="f" type="#_x0000_t136">
          <v:fill angle="0" opacity="65536f"/>
          <v:textpath fitshape="t" string="DRAFT" style="font-family:&amp;quot;&quot;&amp;quot&quot;&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Pr>
      <w:pict>
        <v:shape id="PowerPlusWaterMarkObject2" style="position:absolute;width:488.8pt;height:171.05pt;rotation:315;z-index:-503316481;mso-position-horizontal-relative:margin;mso-position-horizontal:center;mso-position-vertical-relative:margin;mso-position-vertical:center;" fillcolor="#c0c0c0" stroked="f" type="#_x0000_t136">
          <v:fill angle="0" opacity="65536f"/>
          <v:textpath fitshape="t" string="DRAFT" style="font-family:&amp;quot;&quot;&amp;quot&quo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540"/>
      </w:pPr>
      <w:rPr>
        <w:rFonts w:ascii="Calibri" w:cs="Calibri" w:eastAsia="Calibri" w:hAnsi="Calibri"/>
        <w:b w:val="0"/>
        <w:bCs w:val="0"/>
        <w:u w:val="none"/>
      </w:rPr>
    </w:lvl>
    <w:lvl w:ilvl="1">
      <w:start w:val="1"/>
      <w:numFmt w:val="decimal"/>
      <w:lvlText w:val="%1.%2"/>
      <w:lvlJc w:val="right"/>
      <w:pPr>
        <w:ind w:left="1440" w:hanging="360"/>
      </w:pPr>
      <w:rPr>
        <w:u w:val="none"/>
      </w:rPr>
    </w:lvl>
    <w:lvl w:ilvl="2">
      <w:start w:val="1"/>
      <w:numFmt w:val="lowerLetter"/>
      <w:lvlText w:val="(%3)"/>
      <w:lvlJc w:val="left"/>
      <w:pPr>
        <w:ind w:left="2160" w:hanging="360"/>
      </w:pPr>
      <w:rPr>
        <w:u w:val="none"/>
      </w:rPr>
    </w:lvl>
    <w:lvl w:ilvl="3">
      <w:start w:val="1"/>
      <w:numFmt w:val="lowerRoman"/>
      <w:lvlText w:val="(%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EA4CD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A4CD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7cEFTE91W0NvRVeCap/gdbLaA==">CgMxLjAyDmguN3o0dThkOHVwN3kzMg5oLjU0bmlvMmF0OXNpMjIOaC5jN3R1NWJ4a251czg4AHIhMURlYlpKMkpFQzNwWWozWkFQWFZvaTctSDY4Zk5Hd3Zp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2026-09-07T09:49:00Z</dcterms:created>
</cp:coreProperties>
</file>