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62" w:rsidRPr="00E82EED" w:rsidRDefault="00D80562" w:rsidP="00D80562">
      <w:pPr>
        <w:pStyle w:val="Title"/>
      </w:pPr>
      <w:r>
        <w:t>Toy Model #4</w:t>
      </w:r>
    </w:p>
    <w:p w:rsidR="00D80562" w:rsidRPr="00E82EED" w:rsidRDefault="00D80562" w:rsidP="00D80562">
      <w:r w:rsidRPr="00E82EED">
        <w:t xml:space="preserve">The equations that define the simple Toy Model are described in Equations 1 and 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D80562" w:rsidRPr="00E82EED" w:rsidTr="00F3768D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=-</m:t>
                </m:r>
                <m:r>
                  <w:rPr>
                    <w:rFonts w:ascii="Cambria Math" w:hAnsi="Cambria Math"/>
                    <w:lang w:eastAsia="en-NZ"/>
                  </w:rPr>
                  <m:t>βV</m:t>
                </m:r>
                <m:r>
                  <w:rPr>
                    <w:rFonts w:ascii="Cambria Math" w:hAnsi="Cambria Math"/>
                    <w:lang w:eastAsia="en-N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i/>
                            <w:lang w:eastAsia="en-NZ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en-NZ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D80562" w:rsidP="00D80562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</m:t>
                </m:r>
                <m:r>
                  <w:rPr>
                    <w:rFonts w:ascii="Cambria Math" w:hAnsi="Cambria Math"/>
                    <w:lang w:eastAsia="en-NZ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+ 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      =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(1)</w:t>
            </w:r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D80562" w:rsidP="00F3768D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(2)</w:t>
            </w:r>
          </w:p>
        </w:tc>
      </w:tr>
    </w:tbl>
    <w:p w:rsidR="00D80562" w:rsidRDefault="00D80562" w:rsidP="00D80562">
      <w:pPr>
        <w:spacing w:before="240"/>
        <w:rPr>
          <w:lang w:eastAsia="en-NZ"/>
        </w:rPr>
      </w:pPr>
      <w:r w:rsidRPr="00E82EED">
        <w:rPr>
          <w:lang w:eastAsia="en-NZ"/>
        </w:rPr>
        <w:t xml:space="preserve">Then with </w:t>
      </w:r>
      <w:r>
        <w:rPr>
          <w:lang w:eastAsia="en-NZ"/>
        </w:rPr>
        <w:t>diffusion added Equations 1 and 2 become 3 and 4 as follows;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5392"/>
        <w:gridCol w:w="770"/>
      </w:tblGrid>
      <w:tr w:rsidR="00D80562" w:rsidRPr="00E82EED" w:rsidTr="00F3768D"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rPr>
                <w:lang w:eastAsia="en-NZ"/>
              </w:rPr>
            </w:pPr>
          </w:p>
        </w:tc>
        <w:tc>
          <w:tcPr>
            <w:tcW w:w="5392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rPr>
                <w:rFonts w:eastAsiaTheme="minorEastAsia"/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sub>
                </m:sSub>
              </m:oMath>
            </m:oMathPara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D80562" w:rsidP="00F3768D">
            <w:pPr>
              <w:rPr>
                <w:lang w:eastAsia="en-N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=D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dx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NZ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80562" w:rsidRPr="00E82EED" w:rsidRDefault="00D80562" w:rsidP="00F3768D">
            <w:pPr>
              <w:spacing w:before="240"/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>
              <w:rPr>
                <w:lang w:eastAsia="en-NZ"/>
              </w:rPr>
              <w:t>3</w:t>
            </w:r>
            <w:r w:rsidRPr="00E82EED">
              <w:rPr>
                <w:lang w:eastAsia="en-NZ"/>
              </w:rPr>
              <w:t>)</w:t>
            </w:r>
          </w:p>
          <w:p w:rsidR="00D80562" w:rsidRPr="00E82EED" w:rsidRDefault="00D80562" w:rsidP="00F3768D">
            <w:pPr>
              <w:rPr>
                <w:lang w:eastAsia="en-NZ"/>
              </w:rPr>
            </w:pPr>
          </w:p>
          <w:p w:rsidR="00D80562" w:rsidRPr="00E82EED" w:rsidRDefault="00D80562" w:rsidP="00F3768D">
            <w:pPr>
              <w:rPr>
                <w:lang w:eastAsia="en-NZ"/>
              </w:rPr>
            </w:pPr>
            <w:r w:rsidRPr="00E82EED">
              <w:rPr>
                <w:lang w:eastAsia="en-NZ"/>
              </w:rPr>
              <w:t>(</w:t>
            </w:r>
            <w:r>
              <w:rPr>
                <w:lang w:eastAsia="en-NZ"/>
              </w:rPr>
              <w:t>4</w:t>
            </w:r>
            <w:r w:rsidRPr="00E82EED">
              <w:rPr>
                <w:lang w:eastAsia="en-NZ"/>
              </w:rPr>
              <w:t>)</w:t>
            </w:r>
          </w:p>
        </w:tc>
      </w:tr>
    </w:tbl>
    <w:p w:rsidR="00D80562" w:rsidRDefault="00D80562" w:rsidP="00D80562">
      <w:pPr>
        <w:spacing w:before="240"/>
        <w:rPr>
          <w:lang w:eastAsia="en-NZ"/>
        </w:rPr>
      </w:pPr>
      <w:r>
        <w:rPr>
          <w:lang w:eastAsia="en-NZ"/>
        </w:rPr>
        <w:t xml:space="preserve">Where α and β are variable parameters </w:t>
      </w:r>
    </w:p>
    <w:p w:rsidR="00D80562" w:rsidRDefault="00D80562" w:rsidP="00D80562">
      <w:pPr>
        <w:pStyle w:val="Heading1"/>
        <w:rPr>
          <w:lang w:eastAsia="en-NZ"/>
        </w:rPr>
      </w:pPr>
      <w:r>
        <w:rPr>
          <w:lang w:eastAsia="en-NZ"/>
        </w:rPr>
        <w:t>Results 1</w:t>
      </w:r>
    </w:p>
    <w:p w:rsidR="00D80562" w:rsidRDefault="00D80562" w:rsidP="00D80562">
      <w:r>
        <w:rPr>
          <w:lang w:eastAsia="en-NZ"/>
        </w:rPr>
        <w:t>Due to there being two parameters it is important to view the interaction between the two. First if you hold α constant and vary β:</w:t>
      </w:r>
    </w:p>
    <w:p w:rsidR="00E44F50" w:rsidRDefault="00E44F50" w:rsidP="00E44F50">
      <w:pPr>
        <w:jc w:val="center"/>
      </w:pPr>
      <w:r w:rsidRPr="00E44F50">
        <w:drawing>
          <wp:inline distT="0" distB="0" distL="0" distR="0" wp14:anchorId="5257E76E" wp14:editId="1156472C">
            <wp:extent cx="3155950" cy="23669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3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50" w:rsidRDefault="00E44F50" w:rsidP="00E44F50">
      <w:pPr>
        <w:jc w:val="center"/>
      </w:pPr>
      <w:r>
        <w:rPr>
          <w:noProof/>
          <w:lang w:eastAsia="en-NZ"/>
        </w:rPr>
        <w:t>Figure 1: Holding α constant at 0 and varying β linearaly between {0,1}</w:t>
      </w:r>
    </w:p>
    <w:p w:rsidR="00E44F50" w:rsidRDefault="00D80562" w:rsidP="00D80562">
      <w:r>
        <w:t xml:space="preserve">From here α was changed to 0.5 and again varied β. For Figure 2 the scale has been fixed {-4,4} and thus in the dark blue region which heads to negative infinity is not viewed. </w:t>
      </w:r>
    </w:p>
    <w:p w:rsidR="00CF7C77" w:rsidRDefault="00CF7C77" w:rsidP="00CF7C77">
      <w:pPr>
        <w:jc w:val="center"/>
      </w:pPr>
      <w:r w:rsidRPr="001102BD">
        <w:lastRenderedPageBreak/>
        <w:drawing>
          <wp:inline distT="0" distB="0" distL="0" distR="0" wp14:anchorId="251D14E8" wp14:editId="67B7C4BF">
            <wp:extent cx="2451100" cy="18383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357" cy="18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2BD">
        <w:drawing>
          <wp:inline distT="0" distB="0" distL="0" distR="0" wp14:anchorId="1003C3A2" wp14:editId="7B74D512">
            <wp:extent cx="2451100" cy="18383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4456"/>
      </w:tblGrid>
      <w:tr w:rsidR="00CF7C77" w:rsidTr="00CF7C77">
        <w:tc>
          <w:tcPr>
            <w:tcW w:w="4503" w:type="dxa"/>
          </w:tcPr>
          <w:p w:rsidR="00CF7C77" w:rsidRDefault="00CF7C77" w:rsidP="00CF7C77">
            <w:pPr>
              <w:jc w:val="center"/>
            </w:pPr>
            <w:r>
              <w:rPr>
                <w:noProof/>
                <w:lang w:eastAsia="en-NZ"/>
              </w:rPr>
              <w:t xml:space="preserve">Figure </w:t>
            </w:r>
            <w:r w:rsidR="00D80562">
              <w:rPr>
                <w:noProof/>
                <w:lang w:eastAsia="en-NZ"/>
              </w:rPr>
              <w:t>2</w:t>
            </w:r>
            <w:r>
              <w:rPr>
                <w:noProof/>
                <w:lang w:eastAsia="en-NZ"/>
              </w:rPr>
              <w:t>: Holding α constant at 0.5 and varying β linearaly between {0,1}</w:t>
            </w:r>
          </w:p>
          <w:p w:rsidR="00CF7C77" w:rsidRDefault="00CF7C77"/>
        </w:tc>
        <w:tc>
          <w:tcPr>
            <w:tcW w:w="283" w:type="dxa"/>
          </w:tcPr>
          <w:p w:rsidR="00CF7C77" w:rsidRDefault="00CF7C77" w:rsidP="00CF7C77">
            <w:pPr>
              <w:jc w:val="center"/>
            </w:pPr>
          </w:p>
        </w:tc>
        <w:tc>
          <w:tcPr>
            <w:tcW w:w="4456" w:type="dxa"/>
          </w:tcPr>
          <w:p w:rsidR="00CF7C77" w:rsidRDefault="00D80562" w:rsidP="00CF7C77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 xml:space="preserve">Figure </w:t>
            </w:r>
            <w:r>
              <w:rPr>
                <w:noProof/>
                <w:lang w:eastAsia="en-NZ"/>
              </w:rPr>
              <w:t>3</w:t>
            </w:r>
            <w:r>
              <w:rPr>
                <w:noProof/>
                <w:lang w:eastAsia="en-NZ"/>
              </w:rPr>
              <w:t xml:space="preserve">: </w:t>
            </w:r>
            <w:r w:rsidR="00CF7C77">
              <w:rPr>
                <w:noProof/>
                <w:lang w:eastAsia="en-NZ"/>
              </w:rPr>
              <w:t>Holding α constant at 0.5 and varying β linearaly between {0.5,2}</w:t>
            </w:r>
          </w:p>
          <w:p w:rsidR="00CF7C77" w:rsidRDefault="00CF7C77"/>
        </w:tc>
      </w:tr>
    </w:tbl>
    <w:p w:rsidR="002B0CA2" w:rsidRDefault="002B0CA2"/>
    <w:p w:rsidR="00CF7C77" w:rsidRDefault="00CF7C77" w:rsidP="00CF7C77">
      <w:pPr>
        <w:jc w:val="center"/>
        <w:rPr>
          <w:noProof/>
          <w:lang w:eastAsia="en-NZ"/>
        </w:rPr>
      </w:pPr>
      <w:r w:rsidRPr="00CF7C77">
        <w:drawing>
          <wp:inline distT="0" distB="0" distL="0" distR="0" wp14:anchorId="4C13139C" wp14:editId="12E43106">
            <wp:extent cx="2597150" cy="19478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C77">
        <w:rPr>
          <w:noProof/>
          <w:lang w:eastAsia="en-NZ"/>
        </w:rPr>
        <w:t xml:space="preserve"> </w:t>
      </w:r>
      <w:r w:rsidRPr="00CF7C77">
        <w:drawing>
          <wp:inline distT="0" distB="0" distL="0" distR="0" wp14:anchorId="6BFD8507" wp14:editId="77E548EA">
            <wp:extent cx="25781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4456"/>
      </w:tblGrid>
      <w:tr w:rsidR="00CF7C77" w:rsidTr="00F3768D">
        <w:tc>
          <w:tcPr>
            <w:tcW w:w="4503" w:type="dxa"/>
          </w:tcPr>
          <w:p w:rsidR="00CF7C77" w:rsidRDefault="00CF7C77" w:rsidP="00F3768D">
            <w:pPr>
              <w:jc w:val="center"/>
            </w:pPr>
            <w:r>
              <w:rPr>
                <w:noProof/>
                <w:lang w:eastAsia="en-NZ"/>
              </w:rPr>
              <w:t xml:space="preserve">Figure </w:t>
            </w:r>
            <w:r w:rsidR="00D80562">
              <w:rPr>
                <w:noProof/>
                <w:lang w:eastAsia="en-NZ"/>
              </w:rPr>
              <w:t>4</w:t>
            </w:r>
            <w:r>
              <w:rPr>
                <w:noProof/>
                <w:lang w:eastAsia="en-NZ"/>
              </w:rPr>
              <w:t xml:space="preserve">: Holding α constant at </w:t>
            </w:r>
            <w:r>
              <w:rPr>
                <w:noProof/>
                <w:lang w:eastAsia="en-NZ"/>
              </w:rPr>
              <w:t>1</w:t>
            </w:r>
            <w:r>
              <w:rPr>
                <w:noProof/>
                <w:lang w:eastAsia="en-NZ"/>
              </w:rPr>
              <w:t xml:space="preserve"> and varying β linearaly between {0,1}</w:t>
            </w:r>
          </w:p>
          <w:p w:rsidR="00CF7C77" w:rsidRDefault="00CF7C77" w:rsidP="00F3768D"/>
        </w:tc>
        <w:tc>
          <w:tcPr>
            <w:tcW w:w="283" w:type="dxa"/>
          </w:tcPr>
          <w:p w:rsidR="00CF7C77" w:rsidRDefault="00CF7C77" w:rsidP="00F3768D">
            <w:pPr>
              <w:jc w:val="center"/>
            </w:pPr>
          </w:p>
        </w:tc>
        <w:tc>
          <w:tcPr>
            <w:tcW w:w="4456" w:type="dxa"/>
          </w:tcPr>
          <w:p w:rsidR="00CF7C77" w:rsidRDefault="00D80562" w:rsidP="00F3768D">
            <w:pPr>
              <w:jc w:val="center"/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 xml:space="preserve">Figure </w:t>
            </w:r>
            <w:r>
              <w:rPr>
                <w:noProof/>
                <w:lang w:eastAsia="en-NZ"/>
              </w:rPr>
              <w:t>5</w:t>
            </w:r>
            <w:r>
              <w:rPr>
                <w:noProof/>
                <w:lang w:eastAsia="en-NZ"/>
              </w:rPr>
              <w:t xml:space="preserve">: </w:t>
            </w:r>
            <w:r w:rsidR="00CF7C77">
              <w:rPr>
                <w:noProof/>
                <w:lang w:eastAsia="en-NZ"/>
              </w:rPr>
              <w:t xml:space="preserve">Holding α constant at </w:t>
            </w:r>
            <w:r w:rsidR="00CF7C77">
              <w:rPr>
                <w:noProof/>
                <w:lang w:eastAsia="en-NZ"/>
              </w:rPr>
              <w:t>1</w:t>
            </w:r>
            <w:r w:rsidR="00CF7C77">
              <w:rPr>
                <w:noProof/>
                <w:lang w:eastAsia="en-NZ"/>
              </w:rPr>
              <w:t xml:space="preserve"> and varying β linearaly between {0.</w:t>
            </w:r>
            <w:r w:rsidR="00E44F50">
              <w:rPr>
                <w:noProof/>
                <w:lang w:eastAsia="en-NZ"/>
              </w:rPr>
              <w:t>98</w:t>
            </w:r>
            <w:r w:rsidR="00CF7C77">
              <w:rPr>
                <w:noProof/>
                <w:lang w:eastAsia="en-NZ"/>
              </w:rPr>
              <w:t>,2}</w:t>
            </w:r>
          </w:p>
          <w:p w:rsidR="00CF7C77" w:rsidRDefault="00CF7C77" w:rsidP="00F3768D"/>
        </w:tc>
      </w:tr>
    </w:tbl>
    <w:p w:rsidR="00E44F50" w:rsidRDefault="00E44F50" w:rsidP="00D80562">
      <w:pPr>
        <w:pStyle w:val="NoSpacing"/>
      </w:pPr>
    </w:p>
    <w:p w:rsidR="00D80562" w:rsidRDefault="00D80562" w:rsidP="00D80562">
      <w:pPr>
        <w:pStyle w:val="NoSpacing"/>
      </w:pPr>
      <w:r>
        <w:t>Next holding Beta constant and varying alpha had an equal but opposite effect</w:t>
      </w:r>
    </w:p>
    <w:p w:rsidR="00D80562" w:rsidRDefault="00D80562" w:rsidP="00D80562">
      <w:pPr>
        <w:jc w:val="center"/>
      </w:pPr>
      <w:r w:rsidRPr="00E44F50">
        <w:drawing>
          <wp:inline distT="0" distB="0" distL="0" distR="0" wp14:anchorId="20D8A05E" wp14:editId="318CFE75">
            <wp:extent cx="2590800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62" w:rsidRDefault="00D80562" w:rsidP="00D80562">
      <w:pPr>
        <w:jc w:val="center"/>
      </w:pPr>
      <w:r>
        <w:rPr>
          <w:noProof/>
          <w:lang w:eastAsia="en-NZ"/>
        </w:rPr>
        <w:t xml:space="preserve">Figure </w:t>
      </w:r>
      <w:r>
        <w:rPr>
          <w:noProof/>
          <w:lang w:eastAsia="en-NZ"/>
        </w:rPr>
        <w:t>6</w:t>
      </w:r>
      <w:r>
        <w:rPr>
          <w:noProof/>
          <w:lang w:eastAsia="en-NZ"/>
        </w:rPr>
        <w:t>: Holding β constant at 1 and varying α linearaly between {0,1}</w:t>
      </w:r>
    </w:p>
    <w:p w:rsidR="00D80562" w:rsidRDefault="00D80562" w:rsidP="00D80562">
      <w:pPr>
        <w:pStyle w:val="Heading1"/>
        <w:rPr>
          <w:lang w:eastAsia="en-NZ"/>
        </w:rPr>
      </w:pPr>
      <w:r>
        <w:rPr>
          <w:lang w:eastAsia="en-NZ"/>
        </w:rPr>
        <w:lastRenderedPageBreak/>
        <w:t>Results 3</w:t>
      </w:r>
    </w:p>
    <w:p w:rsidR="00D80562" w:rsidRDefault="00D80562" w:rsidP="00D80562">
      <w:pPr>
        <w:spacing w:after="0"/>
      </w:pPr>
      <w:r>
        <w:t>Creating zero osculation’s; to view the diffusion it is important to have a region that initially had no osculation’s. To do this the rate of changes of Ф and V to zero for the initial conditions (</w:t>
      </w:r>
      <w:r>
        <w:t>Ф</w:t>
      </w:r>
      <w:r>
        <w:t xml:space="preserve"> = </w:t>
      </w:r>
      <w:r>
        <w:t>V</w:t>
      </w:r>
      <w:r>
        <w:t xml:space="preserve"> = 1).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709"/>
        <w:gridCol w:w="4314"/>
      </w:tblGrid>
      <w:tr w:rsidR="00D80562" w:rsidTr="00D80562">
        <w:tc>
          <w:tcPr>
            <w:tcW w:w="4219" w:type="dxa"/>
          </w:tcPr>
          <w:p w:rsidR="00D80562" w:rsidRDefault="00D80562" w:rsidP="00D80562">
            <w:pPr>
              <w:spacing w:before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=-</m:t>
                </m:r>
                <m:r>
                  <w:rPr>
                    <w:rFonts w:ascii="Cambria Math" w:hAnsi="Cambria Math"/>
                    <w:lang w:eastAsia="en-NZ"/>
                  </w:rPr>
                  <m:t>βV+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  <w:i/>
                            <w:lang w:eastAsia="en-NZ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en-NZ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=0</m:t>
                </m:r>
              </m:oMath>
            </m:oMathPara>
          </w:p>
        </w:tc>
        <w:tc>
          <w:tcPr>
            <w:tcW w:w="709" w:type="dxa"/>
          </w:tcPr>
          <w:p w:rsidR="00D80562" w:rsidRDefault="00D80562" w:rsidP="00D80562">
            <w:pPr>
              <w:spacing w:before="240"/>
              <w:jc w:val="center"/>
            </w:pPr>
            <w:r>
              <w:t>&amp;</w:t>
            </w:r>
          </w:p>
        </w:tc>
        <w:tc>
          <w:tcPr>
            <w:tcW w:w="4314" w:type="dxa"/>
          </w:tcPr>
          <w:p w:rsidR="00D80562" w:rsidRDefault="00D80562" w:rsidP="00D80562">
            <w:pPr>
              <w:spacing w:before="24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NZ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lang w:eastAsia="en-NZ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 =</m:t>
                </m:r>
                <m:r>
                  <w:rPr>
                    <w:rFonts w:ascii="Cambria Math" w:hAnsi="Cambria Math"/>
                    <w:lang w:eastAsia="en-NZ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Φ+ 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=0 </m:t>
                </m:r>
              </m:oMath>
            </m:oMathPara>
          </w:p>
        </w:tc>
      </w:tr>
      <w:tr w:rsidR="00D80562" w:rsidTr="00D80562">
        <w:tc>
          <w:tcPr>
            <w:tcW w:w="4219" w:type="dxa"/>
          </w:tcPr>
          <w:p w:rsidR="00D80562" w:rsidRDefault="00D80562" w:rsidP="00D80562">
            <w:pPr>
              <w:spacing w:before="24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-</m:t>
                </m:r>
                <m:r>
                  <w:rPr>
                    <w:rFonts w:ascii="Cambria Math" w:hAnsi="Cambria Math"/>
                    <w:lang w:eastAsia="en-NZ"/>
                  </w:rPr>
                  <m:t>β×1+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eastAsia="en-NZ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eastAsia="en-NZ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NZ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en-NZ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>- 1=0    ∴    β= -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:rsidR="00D80562" w:rsidRDefault="00D80562" w:rsidP="00D80562">
            <w:pPr>
              <w:spacing w:before="240"/>
              <w:jc w:val="center"/>
            </w:pPr>
          </w:p>
        </w:tc>
        <w:tc>
          <w:tcPr>
            <w:tcW w:w="4314" w:type="dxa"/>
          </w:tcPr>
          <w:p w:rsidR="00D80562" w:rsidRDefault="00D80562" w:rsidP="00D80562">
            <w:pPr>
              <w:spacing w:before="240"/>
              <w:jc w:val="center"/>
            </w:pPr>
            <m:oMathPara>
              <m:oMath>
                <m:r>
                  <w:rPr>
                    <w:rFonts w:ascii="Cambria Math" w:hAnsi="Cambria Math"/>
                    <w:lang w:eastAsia="en-NZ"/>
                  </w:rPr>
                  <m:t>β×1+</m:t>
                </m:r>
                <m:r>
                  <w:rPr>
                    <w:rFonts w:ascii="Cambria Math" w:hAnsi="Cambria Math"/>
                    <w:lang w:eastAsia="en-NZ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=0    ∴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  α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NZ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eastAsia="en-N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NZ"/>
                      </w:rPr>
                      <m:t>3</m:t>
                    </m:r>
                  </m:den>
                </m:f>
              </m:oMath>
            </m:oMathPara>
          </w:p>
        </w:tc>
      </w:tr>
    </w:tbl>
    <w:p w:rsidR="00D80562" w:rsidRDefault="00D80562" w:rsidP="00D80562">
      <w:pPr>
        <w:spacing w:before="240" w:after="0"/>
      </w:pPr>
      <w:r>
        <w:t xml:space="preserve">Figure 7 shows Beta and alpha varying over x to obtain zero osculating. </w:t>
      </w:r>
    </w:p>
    <w:p w:rsidR="00D80562" w:rsidRDefault="00D80562" w:rsidP="00D80562">
      <w:pPr>
        <w:jc w:val="center"/>
      </w:pPr>
      <w:r w:rsidRPr="00D80562">
        <w:drawing>
          <wp:inline distT="0" distB="0" distL="0" distR="0" wp14:anchorId="3FDF60A2" wp14:editId="778B01BD">
            <wp:extent cx="2463799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099" cy="18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62" w:rsidRDefault="00D80562" w:rsidP="00D80562">
      <w:pPr>
        <w:spacing w:after="0"/>
        <w:jc w:val="center"/>
      </w:pPr>
      <w:r>
        <w:t>Figure 7: Alpha and Beta varying over x to obtain zero osculation’s between 0&lt;x&lt;0.2 and 0.8&lt;x&lt;1.</w:t>
      </w:r>
    </w:p>
    <w:p w:rsidR="00D80562" w:rsidRDefault="00D80562" w:rsidP="00D80562">
      <w:pPr>
        <w:spacing w:before="240"/>
        <w:jc w:val="center"/>
      </w:pPr>
      <w:r w:rsidRPr="00D80562">
        <w:drawing>
          <wp:inline distT="0" distB="0" distL="0" distR="0" wp14:anchorId="7771368F" wp14:editId="4D47075B">
            <wp:extent cx="2393950" cy="179546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951" cy="179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62">
        <w:drawing>
          <wp:inline distT="0" distB="0" distL="0" distR="0" wp14:anchorId="38F20E31" wp14:editId="3917495D">
            <wp:extent cx="2413000" cy="1809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071" cy="18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4456"/>
      </w:tblGrid>
      <w:tr w:rsidR="00D80562" w:rsidTr="00F3768D">
        <w:tc>
          <w:tcPr>
            <w:tcW w:w="4503" w:type="dxa"/>
          </w:tcPr>
          <w:p w:rsidR="00D80562" w:rsidRDefault="00D80562" w:rsidP="00F3768D">
            <w:pPr>
              <w:jc w:val="center"/>
            </w:pPr>
            <w:r>
              <w:rPr>
                <w:noProof/>
                <w:lang w:eastAsia="en-NZ"/>
              </w:rPr>
              <w:t>Figure 8: α and β determined by Figure 7 and Equations 1 and 2; Zero Diffusion</w:t>
            </w:r>
          </w:p>
        </w:tc>
        <w:tc>
          <w:tcPr>
            <w:tcW w:w="283" w:type="dxa"/>
          </w:tcPr>
          <w:p w:rsidR="00D80562" w:rsidRDefault="00D80562" w:rsidP="00F3768D">
            <w:pPr>
              <w:jc w:val="center"/>
            </w:pPr>
          </w:p>
        </w:tc>
        <w:tc>
          <w:tcPr>
            <w:tcW w:w="4456" w:type="dxa"/>
          </w:tcPr>
          <w:p w:rsidR="00D80562" w:rsidRDefault="00D80562" w:rsidP="00F3768D">
            <w:pPr>
              <w:jc w:val="center"/>
            </w:pPr>
            <w:r>
              <w:rPr>
                <w:noProof/>
                <w:lang w:eastAsia="en-NZ"/>
              </w:rPr>
              <w:t>Figure 9: α and β determined by Figure 7 and Equations 3 and 4; Simple Diffusion 200e-6</w:t>
            </w:r>
          </w:p>
        </w:tc>
      </w:tr>
    </w:tbl>
    <w:p w:rsidR="00D80562" w:rsidRDefault="00D80562" w:rsidP="00D80562">
      <w:pPr>
        <w:spacing w:before="240" w:after="0"/>
        <w:jc w:val="center"/>
      </w:pPr>
      <w:r w:rsidRPr="00D80562">
        <w:drawing>
          <wp:inline distT="0" distB="0" distL="0" distR="0" wp14:anchorId="7F0498AB" wp14:editId="6E61D373">
            <wp:extent cx="2480733" cy="1860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733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62" w:rsidRDefault="00D80562" w:rsidP="00D80562">
      <w:pPr>
        <w:spacing w:after="0"/>
        <w:jc w:val="center"/>
      </w:pPr>
      <w:r>
        <w:t>Figure 10: A few x points of Figure 8 potted over time.</w:t>
      </w:r>
    </w:p>
    <w:p w:rsidR="00D80562" w:rsidRDefault="00D80562" w:rsidP="00D80562">
      <w:pPr>
        <w:pStyle w:val="Heading1"/>
      </w:pPr>
      <w:r>
        <w:lastRenderedPageBreak/>
        <w:t>Results 4</w:t>
      </w:r>
    </w:p>
    <w:p w:rsidR="00D80562" w:rsidRDefault="00D80562" w:rsidP="00D80562">
      <w:r>
        <w:t>Changing the diffusion constant, D.</w:t>
      </w:r>
    </w:p>
    <w:p w:rsidR="00D80562" w:rsidRPr="00D80562" w:rsidRDefault="00D80562" w:rsidP="00D80562">
      <w:pPr>
        <w:jc w:val="center"/>
        <w:rPr>
          <w:rFonts w:eastAsiaTheme="minorEastAsia"/>
          <w:lang w:eastAsia="en-NZ"/>
        </w:rPr>
      </w:pPr>
      <w:r w:rsidRPr="00D80562">
        <w:rPr>
          <w:rFonts w:eastAsiaTheme="minorEastAsia"/>
          <w:lang w:eastAsia="en-NZ"/>
        </w:rPr>
        <w:drawing>
          <wp:inline distT="0" distB="0" distL="0" distR="0" wp14:anchorId="2544ADAD" wp14:editId="56C78A55">
            <wp:extent cx="2599267" cy="1949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267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62">
        <w:rPr>
          <w:rFonts w:eastAsiaTheme="minorEastAsia"/>
          <w:lang w:eastAsia="en-NZ"/>
        </w:rPr>
        <w:t xml:space="preserve"> </w:t>
      </w:r>
      <w:r w:rsidRPr="00D80562">
        <w:rPr>
          <w:rFonts w:eastAsiaTheme="minorEastAsia"/>
          <w:lang w:eastAsia="en-NZ"/>
        </w:rPr>
        <w:drawing>
          <wp:inline distT="0" distB="0" distL="0" distR="0" wp14:anchorId="0976AA5D" wp14:editId="28726749">
            <wp:extent cx="2597150" cy="19478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62">
        <w:rPr>
          <w:rFonts w:eastAsiaTheme="minorEastAsia"/>
          <w:lang w:eastAsia="en-NZ"/>
        </w:rPr>
        <w:drawing>
          <wp:inline distT="0" distB="0" distL="0" distR="0" wp14:anchorId="21D4DACF" wp14:editId="7DDB0C04">
            <wp:extent cx="2597150" cy="19478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0562">
        <w:drawing>
          <wp:inline distT="0" distB="0" distL="0" distR="0" wp14:anchorId="6F103B84" wp14:editId="5CC82E9D">
            <wp:extent cx="2597150" cy="19478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226" cy="1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62" w:rsidRDefault="00D80562" w:rsidP="00D80562">
      <w:pPr>
        <w:jc w:val="center"/>
      </w:pPr>
      <w:r>
        <w:t>Figure 11-14</w:t>
      </w:r>
      <w:r>
        <w:t xml:space="preserve">: </w:t>
      </w:r>
      <w:r>
        <w:t>D = {1e-6, 5e-6, 10e-6, 100e-6}</w:t>
      </w:r>
    </w:p>
    <w:p w:rsidR="00F07843" w:rsidRDefault="00F07843" w:rsidP="00F07843">
      <w:pPr>
        <w:pStyle w:val="Heading1"/>
      </w:pPr>
      <w:r>
        <w:t xml:space="preserve">Results </w:t>
      </w:r>
      <w:r>
        <w:t>5</w:t>
      </w:r>
    </w:p>
    <w:p w:rsidR="00F07843" w:rsidRDefault="00F07843" w:rsidP="00F07843">
      <w:r>
        <w:t>Simulated over a long period of time</w:t>
      </w:r>
    </w:p>
    <w:p w:rsidR="00F07843" w:rsidRDefault="00747DFD" w:rsidP="00747DFD">
      <w:pPr>
        <w:jc w:val="center"/>
      </w:pPr>
      <w:r w:rsidRPr="00747DFD">
        <w:drawing>
          <wp:inline distT="0" distB="0" distL="0" distR="0" wp14:anchorId="5CC4BB18" wp14:editId="024A77E4">
            <wp:extent cx="2709333" cy="2032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4494" cy="20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DFD">
        <w:drawing>
          <wp:inline distT="0" distB="0" distL="0" distR="0" wp14:anchorId="18D4411F" wp14:editId="21D31390">
            <wp:extent cx="2736850" cy="2052638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7113" cy="20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4456"/>
      </w:tblGrid>
      <w:tr w:rsidR="00747DFD" w:rsidTr="00F3768D">
        <w:tc>
          <w:tcPr>
            <w:tcW w:w="4503" w:type="dxa"/>
          </w:tcPr>
          <w:p w:rsidR="00747DFD" w:rsidRDefault="00747DFD" w:rsidP="00747DFD">
            <w:pPr>
              <w:jc w:val="center"/>
            </w:pPr>
            <w:r>
              <w:rPr>
                <w:noProof/>
                <w:lang w:eastAsia="en-NZ"/>
              </w:rPr>
              <w:t xml:space="preserve">Figure </w:t>
            </w:r>
            <w:r>
              <w:rPr>
                <w:noProof/>
                <w:lang w:eastAsia="en-NZ"/>
              </w:rPr>
              <w:t>15</w:t>
            </w:r>
            <w:r>
              <w:rPr>
                <w:noProof/>
                <w:lang w:eastAsia="en-NZ"/>
              </w:rPr>
              <w:t>: Diffusion</w:t>
            </w:r>
            <w:r>
              <w:rPr>
                <w:noProof/>
                <w:lang w:eastAsia="en-NZ"/>
              </w:rPr>
              <w:t>,</w:t>
            </w:r>
            <w:r>
              <w:t xml:space="preserve"> </w:t>
            </w:r>
            <w:r>
              <w:t xml:space="preserve">D = 5e-6 and </w:t>
            </w:r>
            <w:r>
              <w:t xml:space="preserve">long time, </w:t>
            </w:r>
            <w:r>
              <w:t>t={0:500}</w:t>
            </w:r>
          </w:p>
        </w:tc>
        <w:tc>
          <w:tcPr>
            <w:tcW w:w="283" w:type="dxa"/>
          </w:tcPr>
          <w:p w:rsidR="00747DFD" w:rsidRDefault="00747DFD" w:rsidP="00F3768D">
            <w:pPr>
              <w:jc w:val="center"/>
            </w:pPr>
          </w:p>
        </w:tc>
        <w:tc>
          <w:tcPr>
            <w:tcW w:w="4456" w:type="dxa"/>
          </w:tcPr>
          <w:p w:rsidR="00747DFD" w:rsidRDefault="00747DFD" w:rsidP="00747DFD">
            <w:pPr>
              <w:jc w:val="center"/>
            </w:pPr>
            <w:r>
              <w:rPr>
                <w:noProof/>
                <w:lang w:eastAsia="en-NZ"/>
              </w:rPr>
              <w:t xml:space="preserve">Figure </w:t>
            </w:r>
            <w:r>
              <w:rPr>
                <w:noProof/>
                <w:lang w:eastAsia="en-NZ"/>
              </w:rPr>
              <w:t>16</w:t>
            </w:r>
            <w:r>
              <w:rPr>
                <w:noProof/>
                <w:lang w:eastAsia="en-NZ"/>
              </w:rPr>
              <w:t xml:space="preserve">: </w:t>
            </w:r>
            <w:r>
              <w:rPr>
                <w:noProof/>
                <w:lang w:eastAsia="en-NZ"/>
              </w:rPr>
              <w:t xml:space="preserve">x points from Figure 15 plotted over time. </w:t>
            </w:r>
            <w:bookmarkStart w:id="0" w:name="_GoBack"/>
            <w:bookmarkEnd w:id="0"/>
          </w:p>
        </w:tc>
      </w:tr>
    </w:tbl>
    <w:p w:rsidR="00747DFD" w:rsidRDefault="00747DFD" w:rsidP="00B31372">
      <w:pPr>
        <w:jc w:val="center"/>
      </w:pPr>
    </w:p>
    <w:p w:rsidR="00F07843" w:rsidRPr="00D80562" w:rsidRDefault="00F07843" w:rsidP="00D80562">
      <w:pPr>
        <w:jc w:val="center"/>
        <w:rPr>
          <w:rFonts w:eastAsiaTheme="minorEastAsia"/>
          <w:lang w:eastAsia="en-NZ"/>
        </w:rPr>
      </w:pPr>
    </w:p>
    <w:p w:rsidR="00F07843" w:rsidRPr="00D80562" w:rsidRDefault="00F07843" w:rsidP="00F07843">
      <w:pPr>
        <w:pStyle w:val="Heading1"/>
      </w:pPr>
      <w:r>
        <w:lastRenderedPageBreak/>
        <w:t>Discussion</w:t>
      </w:r>
    </w:p>
    <w:p w:rsidR="00F07843" w:rsidRDefault="00F07843" w:rsidP="00F07843">
      <w:pPr>
        <w:pStyle w:val="NoSpacing"/>
        <w:numPr>
          <w:ilvl w:val="0"/>
          <w:numId w:val="1"/>
        </w:numPr>
      </w:pPr>
      <w:r>
        <w:t xml:space="preserve">Increasing alpha from 0 to 1 shows that there is an increasing instability in the results. </w:t>
      </w:r>
    </w:p>
    <w:p w:rsidR="00F07843" w:rsidRDefault="00F07843" w:rsidP="00F07843">
      <w:pPr>
        <w:pStyle w:val="NoSpacing"/>
        <w:numPr>
          <w:ilvl w:val="0"/>
          <w:numId w:val="1"/>
        </w:numPr>
      </w:pPr>
      <w:r>
        <w:t xml:space="preserve">At low diffusion constants the waves do not protrude into the unexpected region </w:t>
      </w:r>
    </w:p>
    <w:p w:rsidR="00F07843" w:rsidRDefault="00F07843" w:rsidP="00F07843">
      <w:pPr>
        <w:pStyle w:val="NoSpacing"/>
        <w:numPr>
          <w:ilvl w:val="0"/>
          <w:numId w:val="1"/>
        </w:numPr>
      </w:pPr>
      <w:r>
        <w:t xml:space="preserve">however they do form the triangle pattern of diffusion.  </w:t>
      </w:r>
    </w:p>
    <w:p w:rsidR="00D80562" w:rsidRPr="00D80562" w:rsidRDefault="00D80562" w:rsidP="00F07843">
      <w:pPr>
        <w:rPr>
          <w:rFonts w:eastAsiaTheme="minorEastAsia"/>
          <w:lang w:eastAsia="en-NZ"/>
        </w:rPr>
      </w:pPr>
    </w:p>
    <w:p w:rsidR="00E44F50" w:rsidRDefault="00E44F50" w:rsidP="00CF7C77">
      <w:pPr>
        <w:jc w:val="center"/>
      </w:pPr>
    </w:p>
    <w:sectPr w:rsidR="00E4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0DC" w:rsidRDefault="00BB10DC" w:rsidP="00D80562">
      <w:pPr>
        <w:spacing w:after="0" w:line="240" w:lineRule="auto"/>
      </w:pPr>
      <w:r>
        <w:separator/>
      </w:r>
    </w:p>
  </w:endnote>
  <w:endnote w:type="continuationSeparator" w:id="0">
    <w:p w:rsidR="00BB10DC" w:rsidRDefault="00BB10DC" w:rsidP="00D8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0DC" w:rsidRDefault="00BB10DC" w:rsidP="00D80562">
      <w:pPr>
        <w:spacing w:after="0" w:line="240" w:lineRule="auto"/>
      </w:pPr>
      <w:r>
        <w:separator/>
      </w:r>
    </w:p>
  </w:footnote>
  <w:footnote w:type="continuationSeparator" w:id="0">
    <w:p w:rsidR="00BB10DC" w:rsidRDefault="00BB10DC" w:rsidP="00D8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61F"/>
    <w:multiLevelType w:val="hybridMultilevel"/>
    <w:tmpl w:val="348C60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C77"/>
    <w:rsid w:val="002B0CA2"/>
    <w:rsid w:val="006F5BCE"/>
    <w:rsid w:val="00747DFD"/>
    <w:rsid w:val="00B31372"/>
    <w:rsid w:val="00BB10DC"/>
    <w:rsid w:val="00CF7C77"/>
    <w:rsid w:val="00D80562"/>
    <w:rsid w:val="00E44F50"/>
    <w:rsid w:val="00F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77"/>
  </w:style>
  <w:style w:type="paragraph" w:styleId="Heading1">
    <w:name w:val="heading 1"/>
    <w:basedOn w:val="Normal"/>
    <w:next w:val="Normal"/>
    <w:link w:val="Heading1Char"/>
    <w:uiPriority w:val="9"/>
    <w:qFormat/>
    <w:rsid w:val="00D80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805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05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62"/>
  </w:style>
  <w:style w:type="paragraph" w:styleId="Footer">
    <w:name w:val="footer"/>
    <w:basedOn w:val="Normal"/>
    <w:link w:val="Foot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77"/>
  </w:style>
  <w:style w:type="paragraph" w:styleId="Heading1">
    <w:name w:val="heading 1"/>
    <w:basedOn w:val="Normal"/>
    <w:next w:val="Normal"/>
    <w:link w:val="Heading1Char"/>
    <w:uiPriority w:val="9"/>
    <w:qFormat/>
    <w:rsid w:val="00D80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0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0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8056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805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562"/>
  </w:style>
  <w:style w:type="paragraph" w:styleId="Footer">
    <w:name w:val="footer"/>
    <w:basedOn w:val="Normal"/>
    <w:link w:val="FooterChar"/>
    <w:uiPriority w:val="99"/>
    <w:unhideWhenUsed/>
    <w:rsid w:val="00D8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5</cp:revision>
  <dcterms:created xsi:type="dcterms:W3CDTF">2015-11-04T21:20:00Z</dcterms:created>
  <dcterms:modified xsi:type="dcterms:W3CDTF">2015-11-06T07:33:00Z</dcterms:modified>
</cp:coreProperties>
</file>