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CA" w:rsidRP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jc w:val="center"/>
        <w:textAlignment w:val="baseline"/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  <w:lang w:val="kk-KZ"/>
        </w:rPr>
      </w:pPr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  <w:lang w:val="kk-KZ"/>
        </w:rPr>
        <w:t>ҚАЗАҚСТАН РЕСПУБЛИКАСЫНЫҢ ЗАҢЫ</w:t>
      </w: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jc w:val="center"/>
        <w:textAlignment w:val="baseline"/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  <w:lang w:val="kk-KZ"/>
        </w:rPr>
      </w:pPr>
    </w:p>
    <w:p w:rsidR="003230CA" w:rsidRPr="003230CA" w:rsidRDefault="003230CA" w:rsidP="003230CA">
      <w:pPr>
        <w:pStyle w:val="j1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  <w:lang w:val="kk-KZ"/>
        </w:rPr>
      </w:pPr>
      <w:r w:rsidRPr="003230CA">
        <w:rPr>
          <w:rStyle w:val="s1"/>
          <w:rFonts w:ascii="Cambria" w:hAnsi="Cambria"/>
          <w:b/>
          <w:bCs/>
          <w:color w:val="000000"/>
          <w:lang w:val="kk-KZ"/>
        </w:rPr>
        <w:t>Жеке және заңды тұлғалардың өтініштерін қарау тәртібі туралы</w:t>
      </w:r>
    </w:p>
    <w:p w:rsidR="003230CA" w:rsidRPr="003230CA" w:rsidRDefault="003230CA" w:rsidP="003230CA">
      <w:pPr>
        <w:pStyle w:val="j1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/>
          <w:color w:val="000000"/>
        </w:rPr>
      </w:pPr>
      <w:r w:rsidRPr="003230CA">
        <w:rPr>
          <w:rStyle w:val="s3"/>
          <w:rFonts w:ascii="Cambria" w:hAnsi="Cambria"/>
          <w:i/>
          <w:iCs/>
          <w:color w:val="FF0000"/>
        </w:rPr>
        <w:t xml:space="preserve">(2018.16.05. </w:t>
      </w:r>
      <w:proofErr w:type="spellStart"/>
      <w:r w:rsidRPr="003230CA">
        <w:rPr>
          <w:rStyle w:val="s3"/>
          <w:rFonts w:ascii="Cambria" w:hAnsi="Cambria"/>
          <w:i/>
          <w:iCs/>
          <w:color w:val="FF0000"/>
        </w:rPr>
        <w:t>берілген</w:t>
      </w:r>
      <w:proofErr w:type="spellEnd"/>
      <w:r w:rsidRPr="003230CA">
        <w:rPr>
          <w:rStyle w:val="s3"/>
          <w:rFonts w:ascii="Cambria" w:hAnsi="Cambria"/>
          <w:i/>
          <w:iCs/>
          <w:color w:val="FF0000"/>
        </w:rPr>
        <w:t> </w:t>
      </w:r>
      <w:bookmarkStart w:id="0" w:name="SUB1001827795"/>
      <w:proofErr w:type="spellStart"/>
      <w:r w:rsidRPr="003230CA">
        <w:rPr>
          <w:rStyle w:val="s9"/>
          <w:rFonts w:ascii="Cambria" w:hAnsi="Cambria"/>
          <w:i/>
          <w:iCs/>
          <w:color w:val="333399"/>
          <w:u w:val="single"/>
        </w:rPr>
        <w:fldChar w:fldCharType="begin"/>
      </w:r>
      <w:r w:rsidRPr="003230CA">
        <w:rPr>
          <w:rStyle w:val="s9"/>
          <w:rFonts w:ascii="Cambria" w:hAnsi="Cambria"/>
          <w:i/>
          <w:iCs/>
          <w:color w:val="333399"/>
          <w:u w:val="single"/>
        </w:rPr>
        <w:instrText xml:space="preserve"> HYPERLINK "https://online.zakon.kz/document/?doc_id=30086585" \o "\«Жеке жѕне зањды тђлѓалардыњ љтініштерін ќарау тѕртібі туралы\» 2007 жылѓы 12 ќањтардаѓы № 221-III Ќазаќстан Республикасыныњ Зањы (2018.16.05. берілген љзгерістер мен толыќтырулармен)" \t "_parent" </w:instrText>
      </w:r>
      <w:r w:rsidRPr="003230CA">
        <w:rPr>
          <w:rStyle w:val="s9"/>
          <w:rFonts w:ascii="Cambria" w:hAnsi="Cambria"/>
          <w:i/>
          <w:iCs/>
          <w:color w:val="333399"/>
          <w:u w:val="single"/>
        </w:rPr>
        <w:fldChar w:fldCharType="separate"/>
      </w:r>
      <w:r w:rsidRPr="003230CA">
        <w:rPr>
          <w:rStyle w:val="a4"/>
          <w:rFonts w:ascii="Cambria" w:hAnsi="Cambria"/>
          <w:i/>
          <w:iCs/>
          <w:color w:val="000080"/>
        </w:rPr>
        <w:t>өзгерістер</w:t>
      </w:r>
      <w:proofErr w:type="spellEnd"/>
      <w:r w:rsidRPr="003230CA">
        <w:rPr>
          <w:rStyle w:val="a4"/>
          <w:rFonts w:ascii="Cambria" w:hAnsi="Cambria"/>
          <w:i/>
          <w:iCs/>
          <w:color w:val="000080"/>
        </w:rPr>
        <w:t xml:space="preserve"> мен </w:t>
      </w:r>
      <w:proofErr w:type="spellStart"/>
      <w:r w:rsidRPr="003230CA">
        <w:rPr>
          <w:rStyle w:val="a4"/>
          <w:rFonts w:ascii="Cambria" w:hAnsi="Cambria"/>
          <w:i/>
          <w:iCs/>
          <w:color w:val="000080"/>
        </w:rPr>
        <w:t>толықтырулармен</w:t>
      </w:r>
      <w:proofErr w:type="spellEnd"/>
      <w:r w:rsidRPr="003230CA">
        <w:rPr>
          <w:rStyle w:val="s9"/>
          <w:rFonts w:ascii="Cambria" w:hAnsi="Cambria"/>
          <w:i/>
          <w:iCs/>
          <w:color w:val="333399"/>
          <w:u w:val="single"/>
        </w:rPr>
        <w:fldChar w:fldCharType="end"/>
      </w:r>
      <w:bookmarkEnd w:id="0"/>
      <w:r w:rsidRPr="003230CA">
        <w:rPr>
          <w:rStyle w:val="s3"/>
          <w:rFonts w:ascii="Cambria" w:hAnsi="Cambria"/>
          <w:i/>
          <w:iCs/>
          <w:color w:val="FF0000"/>
        </w:rPr>
        <w:t>)</w:t>
      </w: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jc w:val="center"/>
        <w:textAlignment w:val="baseline"/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  <w:lang w:val="kk-KZ"/>
        </w:rPr>
      </w:pP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</w:pPr>
    </w:p>
    <w:p w:rsid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</w:pPr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 xml:space="preserve">5-бап. </w:t>
      </w:r>
      <w:proofErr w:type="spellStart"/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>Қарауға</w:t>
      </w:r>
      <w:proofErr w:type="spellEnd"/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 xml:space="preserve"> </w:t>
      </w:r>
      <w:proofErr w:type="spellStart"/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>жатпайтын</w:t>
      </w:r>
      <w:proofErr w:type="spellEnd"/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 xml:space="preserve"> </w:t>
      </w:r>
      <w:proofErr w:type="spellStart"/>
      <w:r w:rsidRPr="003230CA">
        <w:rPr>
          <w:rFonts w:ascii="Cambria" w:hAnsi="Cambria" w:cs="Courier New"/>
          <w:b/>
          <w:bCs/>
          <w:color w:val="000000"/>
          <w:spacing w:val="2"/>
          <w:bdr w:val="none" w:sz="0" w:space="0" w:color="auto" w:frame="1"/>
        </w:rPr>
        <w:t>өтiнiштер</w:t>
      </w:r>
      <w:proofErr w:type="spellEnd"/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Cambria" w:hAnsi="Cambria" w:cs="Courier New"/>
          <w:color w:val="000000"/>
          <w:spacing w:val="2"/>
        </w:rPr>
      </w:pP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Cambria" w:hAnsi="Cambria" w:cs="Courier New"/>
          <w:color w:val="000000"/>
          <w:spacing w:val="2"/>
        </w:rPr>
      </w:pPr>
      <w:r w:rsidRPr="003230CA">
        <w:rPr>
          <w:rFonts w:ascii="Cambria" w:hAnsi="Cambria" w:cs="Courier New"/>
          <w:color w:val="000000"/>
          <w:spacing w:val="2"/>
        </w:rPr>
        <w:t xml:space="preserve">      1.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Мыналар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қарауға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жатпайды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>:</w:t>
      </w: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Cambria" w:hAnsi="Cambria" w:cs="Courier New"/>
          <w:color w:val="000000"/>
          <w:spacing w:val="2"/>
        </w:rPr>
      </w:pPr>
      <w:r w:rsidRPr="003230CA">
        <w:rPr>
          <w:rFonts w:ascii="Cambria" w:hAnsi="Cambria" w:cs="Courier New"/>
          <w:color w:val="000000"/>
          <w:spacing w:val="2"/>
        </w:rPr>
        <w:t xml:space="preserve">      1)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мұндай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өтiнiште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дайындалып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жатқан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немесе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жасалған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қылмыстық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құқық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бұзушылықтар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туралы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не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мемлекеттiк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немесе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қоғамдық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қауiпсiздiкке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төнетiн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қауiп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туралы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мәлiметтер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бар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және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мемлекеттiк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органдардың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құзыреттерiне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сәйкес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оларға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дереу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жiберiлуге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тиiс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жағдайларды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қоспағанда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,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иесi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бүркемеленген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өтiнiш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>;</w:t>
      </w: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Cambria" w:hAnsi="Cambria" w:cs="Courier New"/>
          <w:color w:val="000000"/>
          <w:spacing w:val="2"/>
        </w:rPr>
      </w:pPr>
      <w:r w:rsidRPr="003230CA">
        <w:rPr>
          <w:rFonts w:ascii="Cambria" w:hAnsi="Cambria" w:cs="Courier New"/>
          <w:color w:val="000000"/>
          <w:spacing w:val="2"/>
        </w:rPr>
        <w:t xml:space="preserve">      2)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мәселенiң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мәнi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баяндалмаған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өтiнiш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>.</w:t>
      </w:r>
    </w:p>
    <w:p w:rsidR="003230CA" w:rsidRPr="003230CA" w:rsidRDefault="003230CA" w:rsidP="003230CA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Cambria" w:hAnsi="Cambria" w:cs="Courier New"/>
          <w:spacing w:val="2"/>
        </w:rPr>
      </w:pPr>
      <w:r w:rsidRPr="003230CA">
        <w:rPr>
          <w:rFonts w:ascii="Cambria" w:hAnsi="Cambria" w:cs="Courier New"/>
          <w:color w:val="000000"/>
          <w:spacing w:val="2"/>
        </w:rPr>
        <w:t xml:space="preserve">      2.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Егер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өтiнiштi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қараусыз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қалдыруға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негiз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болған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жағдайлар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кейiннен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color w:val="000000"/>
          <w:spacing w:val="2"/>
        </w:rPr>
        <w:t>жойылса</w:t>
      </w:r>
      <w:proofErr w:type="spellEnd"/>
      <w:r w:rsidRPr="003230CA">
        <w:rPr>
          <w:rFonts w:ascii="Cambria" w:hAnsi="Cambria" w:cs="Courier New"/>
          <w:color w:val="000000"/>
          <w:spacing w:val="2"/>
        </w:rPr>
        <w:t xml:space="preserve">, </w:t>
      </w:r>
      <w:r w:rsidRPr="003230CA">
        <w:rPr>
          <w:rFonts w:ascii="Cambria" w:hAnsi="Cambria" w:cs="Courier New"/>
          <w:spacing w:val="2"/>
        </w:rPr>
        <w:t xml:space="preserve">субъект </w:t>
      </w:r>
      <w:proofErr w:type="spellStart"/>
      <w:r w:rsidRPr="003230CA">
        <w:rPr>
          <w:rFonts w:ascii="Cambria" w:hAnsi="Cambria" w:cs="Courier New"/>
          <w:spacing w:val="2"/>
        </w:rPr>
        <w:t>немесе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лауазымды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тұлға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аталған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өтiнiштi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қайта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қарауға</w:t>
      </w:r>
      <w:proofErr w:type="spellEnd"/>
      <w:r w:rsidRPr="003230CA">
        <w:rPr>
          <w:rFonts w:ascii="Cambria" w:hAnsi="Cambria" w:cs="Courier New"/>
          <w:spacing w:val="2"/>
        </w:rPr>
        <w:t xml:space="preserve"> </w:t>
      </w:r>
      <w:proofErr w:type="spellStart"/>
      <w:r w:rsidRPr="003230CA">
        <w:rPr>
          <w:rFonts w:ascii="Cambria" w:hAnsi="Cambria" w:cs="Courier New"/>
          <w:spacing w:val="2"/>
        </w:rPr>
        <w:t>мiндеттi</w:t>
      </w:r>
      <w:proofErr w:type="spellEnd"/>
      <w:r w:rsidRPr="003230CA">
        <w:rPr>
          <w:rFonts w:ascii="Cambria" w:hAnsi="Cambria" w:cs="Courier New"/>
          <w:spacing w:val="2"/>
        </w:rPr>
        <w:t>.</w:t>
      </w: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B22E7D" w:rsidRDefault="00B22E7D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  <w:bookmarkStart w:id="1" w:name="_GoBack"/>
      <w:bookmarkEnd w:id="1"/>
      <w:r w:rsidRPr="003230CA"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  <w:lastRenderedPageBreak/>
        <w:t>ЗАКОН</w:t>
      </w:r>
    </w:p>
    <w:p w:rsidR="003230CA" w:rsidRP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</w:p>
    <w:p w:rsid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</w:pPr>
      <w:r w:rsidRPr="003230CA"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  <w:t>РЕСПУБЛИКИ КАЗАХСТАН</w:t>
      </w:r>
    </w:p>
    <w:p w:rsidR="003230CA" w:rsidRP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</w:p>
    <w:p w:rsidR="003230CA" w:rsidRP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  <w:r w:rsidRPr="003230CA"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  <w:t>О порядке рассмотрения обращений физических и юридических лиц</w:t>
      </w:r>
    </w:p>
    <w:p w:rsid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</w:pPr>
      <w:r w:rsidRPr="003230CA"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  <w:t>(с изменениями и дополнениями по состоянию на 16.05.2018 г.)</w:t>
      </w:r>
    </w:p>
    <w:p w:rsid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bdr w:val="none" w:sz="0" w:space="0" w:color="auto" w:frame="1"/>
          <w:lang w:eastAsia="ru-RU"/>
        </w:rPr>
      </w:pPr>
    </w:p>
    <w:p w:rsidR="003230CA" w:rsidRPr="003230CA" w:rsidRDefault="003230CA" w:rsidP="003230CA">
      <w:pPr>
        <w:shd w:val="clear" w:color="auto" w:fill="FFFFFF"/>
        <w:spacing w:after="0" w:line="240" w:lineRule="auto"/>
        <w:jc w:val="center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</w:p>
    <w:p w:rsidR="003230CA" w:rsidRDefault="003230CA" w:rsidP="003230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  <w:r w:rsidRPr="003230CA"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  <w:t>Статья 5. Обращения, не подлежащие рассмотрению</w:t>
      </w:r>
    </w:p>
    <w:p w:rsidR="003230CA" w:rsidRPr="00B22E7D" w:rsidRDefault="003230CA" w:rsidP="003230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</w:p>
    <w:p w:rsidR="003230CA" w:rsidRPr="00B22E7D" w:rsidRDefault="003230CA" w:rsidP="003230CA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bCs/>
          <w:sz w:val="24"/>
          <w:szCs w:val="24"/>
          <w:bdr w:val="none" w:sz="0" w:space="0" w:color="auto" w:frame="1"/>
          <w:lang w:eastAsia="ru-RU"/>
        </w:rPr>
      </w:pPr>
      <w:r w:rsidRPr="00B22E7D">
        <w:rPr>
          <w:rFonts w:ascii="Cambria" w:eastAsia="Times New Roman" w:hAnsi="Cambria" w:cs="Open Sans"/>
          <w:bCs/>
          <w:sz w:val="24"/>
          <w:szCs w:val="24"/>
          <w:bdr w:val="none" w:sz="0" w:space="0" w:color="auto" w:frame="1"/>
          <w:lang w:eastAsia="ru-RU"/>
        </w:rPr>
        <w:t>Не подлежат рассмотрению:</w:t>
      </w:r>
    </w:p>
    <w:p w:rsidR="003230CA" w:rsidRPr="003230CA" w:rsidRDefault="003230CA" w:rsidP="003230CA">
      <w:pPr>
        <w:pStyle w:val="a7"/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230CA" w:rsidRPr="003230CA" w:rsidRDefault="003230CA" w:rsidP="003230CA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  <w:r w:rsidRPr="003230CA">
        <w:rPr>
          <w:rFonts w:ascii="Cambria" w:eastAsia="Times New Roman" w:hAnsi="Cambria" w:cs="Open Sans"/>
          <w:i/>
          <w:iCs/>
          <w:sz w:val="24"/>
          <w:szCs w:val="24"/>
          <w:bdr w:val="none" w:sz="0" w:space="0" w:color="auto" w:frame="1"/>
          <w:lang w:eastAsia="ru-RU"/>
        </w:rPr>
        <w:t>анонимное обращение, за исключением случаев, когда в таком обращении содержатся сведения о готовящихся или совершенных преступлениях либо об угрозе государственной или общественной безопасности и которое подлежит немедленному перенаправлению в государственные органы в соответствии с их компетенцией;</w:t>
      </w:r>
    </w:p>
    <w:p w:rsidR="003230CA" w:rsidRPr="003230CA" w:rsidRDefault="003230CA" w:rsidP="003230CA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  <w:r w:rsidRPr="003230CA">
        <w:rPr>
          <w:rFonts w:ascii="Cambria" w:eastAsia="Times New Roman" w:hAnsi="Cambria" w:cs="Open Sans"/>
          <w:i/>
          <w:iCs/>
          <w:sz w:val="24"/>
          <w:szCs w:val="24"/>
          <w:bdr w:val="none" w:sz="0" w:space="0" w:color="auto" w:frame="1"/>
          <w:lang w:eastAsia="ru-RU"/>
        </w:rPr>
        <w:t>обращение, в котором не изложена суть вопроса.</w:t>
      </w:r>
    </w:p>
    <w:p w:rsidR="003230CA" w:rsidRDefault="003230CA" w:rsidP="003230C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230CA" w:rsidRPr="00B22E7D" w:rsidRDefault="003230CA" w:rsidP="003230CA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sz w:val="24"/>
          <w:szCs w:val="24"/>
          <w:lang w:eastAsia="ru-RU"/>
        </w:rPr>
      </w:pPr>
      <w:r w:rsidRPr="00B22E7D">
        <w:rPr>
          <w:rFonts w:ascii="Cambria" w:eastAsia="Times New Roman" w:hAnsi="Cambria" w:cs="Open Sans"/>
          <w:bCs/>
          <w:sz w:val="24"/>
          <w:szCs w:val="24"/>
          <w:bdr w:val="none" w:sz="0" w:space="0" w:color="auto" w:frame="1"/>
          <w:lang w:eastAsia="ru-RU"/>
        </w:rPr>
        <w:t>Если условия, послужившие основанием для оставления обращения без рассмотрения, в последующем были устранены, субъект или должностное лицо обязаны рассматривать указанное обращение.</w:t>
      </w:r>
    </w:p>
    <w:p w:rsidR="00C23FD3" w:rsidRPr="003230CA" w:rsidRDefault="00C23FD3">
      <w:pPr>
        <w:rPr>
          <w:rFonts w:ascii="Cambria" w:hAnsi="Cambria"/>
          <w:sz w:val="24"/>
          <w:szCs w:val="24"/>
        </w:rPr>
      </w:pPr>
    </w:p>
    <w:sectPr w:rsidR="00C23FD3" w:rsidRPr="0032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B26"/>
    <w:multiLevelType w:val="hybridMultilevel"/>
    <w:tmpl w:val="AA5A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708E5"/>
    <w:multiLevelType w:val="multilevel"/>
    <w:tmpl w:val="C6B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91398"/>
    <w:multiLevelType w:val="multilevel"/>
    <w:tmpl w:val="D6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CA"/>
    <w:rsid w:val="003230CA"/>
    <w:rsid w:val="00B22E7D"/>
    <w:rsid w:val="00C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81B8"/>
  <w15:chartTrackingRefBased/>
  <w15:docId w15:val="{DE02F03F-FD73-4A10-8757-18E2B2EB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11">
    <w:name w:val="j11"/>
    <w:basedOn w:val="a"/>
    <w:rsid w:val="00323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230CA"/>
  </w:style>
  <w:style w:type="character" w:customStyle="1" w:styleId="s3">
    <w:name w:val="s3"/>
    <w:basedOn w:val="a0"/>
    <w:rsid w:val="003230CA"/>
  </w:style>
  <w:style w:type="character" w:customStyle="1" w:styleId="s9">
    <w:name w:val="s9"/>
    <w:basedOn w:val="a0"/>
    <w:rsid w:val="003230CA"/>
  </w:style>
  <w:style w:type="character" w:styleId="a4">
    <w:name w:val="Hyperlink"/>
    <w:basedOn w:val="a0"/>
    <w:uiPriority w:val="99"/>
    <w:semiHidden/>
    <w:unhideWhenUsed/>
    <w:rsid w:val="003230CA"/>
    <w:rPr>
      <w:color w:val="0000FF"/>
      <w:u w:val="single"/>
    </w:rPr>
  </w:style>
  <w:style w:type="character" w:styleId="a5">
    <w:name w:val="Strong"/>
    <w:basedOn w:val="a0"/>
    <w:uiPriority w:val="22"/>
    <w:qFormat/>
    <w:rsid w:val="003230CA"/>
    <w:rPr>
      <w:b/>
      <w:bCs/>
    </w:rPr>
  </w:style>
  <w:style w:type="character" w:styleId="a6">
    <w:name w:val="Emphasis"/>
    <w:basedOn w:val="a0"/>
    <w:uiPriority w:val="20"/>
    <w:qFormat/>
    <w:rsid w:val="003230CA"/>
    <w:rPr>
      <w:i/>
      <w:iCs/>
    </w:rPr>
  </w:style>
  <w:style w:type="paragraph" w:styleId="a7">
    <w:name w:val="List Paragraph"/>
    <w:basedOn w:val="a"/>
    <w:uiPriority w:val="34"/>
    <w:qFormat/>
    <w:rsid w:val="0032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2019-10-08T05:46:00Z</dcterms:created>
  <dcterms:modified xsi:type="dcterms:W3CDTF">2019-10-08T06:05:00Z</dcterms:modified>
</cp:coreProperties>
</file>