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SC" w:hAnsi="Noto Sans CJK SC" w:eastAsia="Noto Sans CJK SC"/>
          <w:b/>
          <w:color w:val="17324D"/>
          <w:sz w:val="50"/>
        </w:rPr>
        <w:t>全球客户开发与增长执行平台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168C83"/>
          <w:sz w:val="27"/>
        </w:rPr>
        <w:t>v3.0 文档体系重构与实施治理方案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9A"/>
          <w:sz w:val="36"/>
        </w:rPr>
        <w:t>v1.0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</w:tblGrid>
      <w:tr>
        <w:tc>
          <w:tcPr>
            <w:tcW w:type="dxa" w:w="9978"/>
            <w:shd w:fill="E8F1FF"/>
            <w:tcMar>
              <w:top w:w="250" w:type="dxa"/>
              <w:start w:w="300" w:type="dxa"/>
              <w:bottom w:w="250" w:type="dxa"/>
              <w:end w:w="3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正式评审稿 / 待批准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E6B78"/>
                <w:sz w:val="19"/>
              </w:rPr>
              <w:t>目标：把 100/151 页综合稿重构为可维护、可追踪、可开发的单一事实源体系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E6B78"/>
                <w:sz w:val="19"/>
              </w:rPr>
              <w:t>与《顶层产品与系统架构设计 v1.0》配套使用</w:t>
            </w:r>
          </w:p>
        </w:tc>
        <w:trPr>
          <w:tblHeader/>
        </w:trPr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203040"/>
          <w:sz w:val="21"/>
        </w:rPr>
        <w:t>产品战略 × 领域设计 × 数据与 AI × 工程治理 × 路线图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20"/>
        </w:rPr>
        <w:t>2026-07-10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0. 执行结论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1. 当前 v3.0 文档诊断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2. 新的文档事实源架构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3. v3.0 内容迁移与裁决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4. 当前 AI 获客模块需要的正式文档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5. 文档 ID、状态与追踪规范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6. 评审、变更与发布治理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7. 三阶段重构计划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8. 模板与验收清单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附录 A：旧章节到新文档映射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附录 B：建议的新文档清单</w:t>
      </w:r>
    </w:p>
    <w:p>
      <w:r>
        <w:br w:type="page"/>
      </w:r>
    </w:p>
    <w:p>
      <w:pPr>
        <w:pStyle w:val="Heading1"/>
        <w:keepNext/>
      </w:pPr>
      <w:r>
        <w:t>0. 执行结论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8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8C83"/>
                <w:sz w:val="20"/>
              </w:rPr>
              <w:t>核心结论：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当前两份 v3.0 不应继续作为同时承担战略、PRD、架构、OSS、数据、AI、测试和工程治理的双事实源。它们应冻结为“研究综合稿”，随后迁移到分层、互不重复的规范文档体系。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新的文档体系不是减少内容，而是让每个事实只在一个地方拥有权威定义；其他文档只引用 ID，不复制全文。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79012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c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9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1：新的文档单一事实源体系</w:t>
      </w:r>
    </w:p>
    <w:p>
      <w:pPr>
        <w:pStyle w:val="Heading1"/>
        <w:keepNext/>
      </w:pPr>
      <w:r>
        <w:t>1. 当前 v3.0 文档诊断</w:t>
      </w:r>
    </w:p>
    <w:p>
      <w:pPr>
        <w:pStyle w:val="Heading2"/>
        <w:keepNext/>
      </w:pPr>
      <w:r>
        <w:t>1.1 结构性问题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51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同一内容在两份文档重复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 Platform、AI、OSS、系统架构、Release 和治理几乎被重复定义。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两份文档会在后续修改中漂移。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总体 PRD 承担过多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既含页面/需求，也含技术基线、Provider、OSS、ADR、团队和 Claude Code。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需求难以独立评审，研发无法判断何时 Development Ready。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模块需求没有真正独立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18 个域被塞入一个超长 PRD，Requirement 多为目录级。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具体能力仍需重新解释，导致工程返工。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状态与事实混杂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APPROVED、PROPOSED、VALIDATION_REQUIRED 和已实现代码并列。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读者无法区分规范要求、研究候选和当前事实。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长期蓝图与当前 Release 混写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“全域 Alpha”与当前只做 AI 获客并存。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项目管理失去明确优先级。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产品与系统边界不稳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Growth Core、SaaS Core、前端、API、获客后端在不同文档含义不同。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业务对象和数据库所有权发生冲突。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编号与引用质量不足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Decision/Principle 范围、附录编号和章节编号存在不同步。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开发和需求追踪无法可靠自动化。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不应采取的修复方式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不再继续向两份 v3.0 中追加补丁和新章节。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不再用一份更长的 v3.1 替代当前两份文件。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不把所有细节都推给“以后模块 PRD”，却仍让总体 PRD承担开发责任。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不通过删除长期能力来让文档变短；应通过引用和分层消除重复。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不让工程实现、开源项目名称或当前人员分工成为产品事实源。</w:t>
      </w:r>
    </w:p>
    <w:p>
      <w:pPr>
        <w:pStyle w:val="Heading1"/>
        <w:keepNext/>
      </w:pPr>
      <w:r>
        <w:t>2. 新的文档事实源架构</w:t>
      </w:r>
    </w:p>
    <w:p>
      <w:pPr>
        <w:pStyle w:val="Heading2"/>
        <w:keepNext/>
      </w:pPr>
      <w:r>
        <w:t>2.1 七层文档模型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98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198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L0 产品宪章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为什么做、为谁做、核心承诺、北极星、非目标和批准决策。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Sponsor / Product Lead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L1 顶层产品与系统架构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能力平面、领域边界、对象、System of Record、架构形态和路线。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Product Architect / Architect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L2 能力路线图与 Release PRD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当前阶段交付什么、业务假设、退出 Gate 和优先级。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Product / Delivery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L3 模块 PRD / UX Spec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某个能力的用户流程、页面、状态、规则、权限和验收。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Module Product Owner / UX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L4 技术规范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C4、Data、AI、Security、Integration、OSS、Operations。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Architecture / Domain Lead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L5 执行事实源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OpenAPI、AsyncAPI、JSON Schema、ADR、Policy Catalog、Data Dictionary。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Engineering Owner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L6 工程交付包</w:t>
            </w:r>
          </w:p>
        </w:tc>
        <w:tc>
          <w:tcPr>
            <w:tcW w:type="dxa" w:w="498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Epic、Story、Test、Migration、Runbook、Release Evidence。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Developer / QA / Ops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权威关系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定位、北极星、一级领域和非目标冲突时，以 L0 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领域边界、核心对象、System of Record 和顶层路线冲突时，以 L1 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当前版本范围、优先级和 Gate 冲突时，以 L2 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用户行为、页面状态和业务验收冲突时，以 L3 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实现方式冲突时，以已批准的 L4/L5 ADR 与机器契约为准。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测试执行、迁移和发布证据以 L6 为准；不得反向改变上游产品决策。</w:t>
      </w:r>
    </w:p>
    <w:p>
      <w:pPr>
        <w:pStyle w:val="Heading2"/>
        <w:keepNext/>
      </w:pPr>
      <w:r>
        <w:t>2.3 建议立即建立的规范文档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85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</w:t>
            </w:r>
          </w:p>
        </w:tc>
        <w:tc>
          <w:tcPr>
            <w:tcW w:type="dxa" w:w="141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建议规模</w:t>
            </w:r>
          </w:p>
        </w:tc>
        <w:tc>
          <w:tcPr>
            <w:tcW w:type="dxa" w:w="35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N0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产品宪章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10-20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从 v3.0 提取定位、用户、QGO、原则、商业模式和非目标。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N1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顶层产品与系统架构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本次已交付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替代 v3.0 中能力架构、总体架构、数据所有权和路线的重复章节。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N2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能力路线图与 Release Plan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15-25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 R0-R5 取代“全域 Alpha”大爆炸。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N3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获客模块 PRD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30-60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当前唯一 Development Ready 产品需求。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N4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Domain Catalog &amp; Data Ownership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20-30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所有领域、对象、Owner、状态和事件索引。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N5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AI/Workflow/Policy Architecture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20-30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将 discovery-architecture 与平台控制面统一。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N6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Integration &amp; OSS Governance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20-30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Provider/OSS 的 Capability、License、Security、Adapter 和 Exit。</w:t>
            </w:r>
          </w:p>
        </w:tc>
      </w:tr>
      <w:tr>
        <w:tc>
          <w:tcPr>
            <w:tcW w:type="dxa" w:w="85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N7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Engineering Playbook v1.0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15-25 页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仓库、PR、CI、迁移、测试、发布和 AI 开发治理。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v3.0 内容迁移与裁决</w:t>
      </w:r>
    </w:p>
    <w:p>
      <w:pPr>
        <w:pStyle w:val="Heading2"/>
        <w:keepNext/>
      </w:pPr>
      <w:r>
        <w:t>3.1 处理原则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处理状态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13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MIGRATE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内容有效，迁入新的权威文档。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保留 ID 或建立新旧映射。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REFERENCE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作为研究或背景，不再具有规范效力。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放入 Research Archive。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SPLIT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一段内容包含多个层级，拆入不同文档。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避免复制全文。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SUPERSEDE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被顶层新决策替代。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记录原因、影响和迁移。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VALIDATE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方向保留，但需合同/技术/法律/用户验证。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进入 Validation Register。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REJECT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正式不做。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保留 Decision，不进入 Backlog。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当前 v3.0 的建议定位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8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A6B00"/>
                <w:sz w:val="20"/>
              </w:rPr>
              <w:t>版本定位：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《产品总纲与产品手册 v3.0》与《产品总体 PRD v3.0》改名或标记为“v3.0 研究综合归档稿”。在新文档完成迁移和批准前仍可作为参考，但不再直接作为 Development Ready 输入。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3.3 必须立即纠正的内容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将 Campaign 与 Goal/Initiative/Run 分层，避免 Campaign 过载。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统一 Candidate、Lead、Qualified Lead、QGO、SAO、Opportunity 和 Outcome。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把“前端 SaaS”“API 后端”“获客后端”重新表述为同一平台内的团队分工，而非多个业务主库。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将 M1 全域 Alpha 改为按业务能力的纵向 Release。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将 QGO 归属、Policy 宿主、Workspace/JWKS 和数据所有权从开放问题升级为必须关闭的 PDR/ADR。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清理 Decision 引用范围、附录重复、章节编号和 Requirement 映射。</w:t>
      </w:r>
    </w:p>
    <w:p>
      <w:pPr>
        <w:pStyle w:val="Heading1"/>
        <w:keepNext/>
      </w:pPr>
      <w:r>
        <w:t>4. 当前 AI 获客模块需要的正式文档</w:t>
      </w:r>
    </w:p>
    <w:p>
      <w:pPr>
        <w:pStyle w:val="Heading2"/>
        <w:keepNext/>
      </w:pPr>
      <w:r>
        <w:t>4.1 已有材料的角色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72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已有材料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保留用途</w:t>
            </w:r>
          </w:p>
        </w:tc>
        <w:tc>
          <w:tcPr>
            <w:tcW w:type="dxa" w:w="311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不能替代</w:t>
            </w:r>
          </w:p>
        </w:tc>
      </w:tr>
      <w:tr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三后端个人任务书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个人职责、工作包和验收。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统一模块 PRD、领域模型和跨人契约。</w:t>
            </w:r>
          </w:p>
        </w:tc>
      </w:tr>
      <w:tr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总体开发/接口/测试/运维/OSS 文档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共享工程规范和执行治理。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产品业务边界与长期 System of Record。</w:t>
            </w:r>
          </w:p>
        </w:tc>
      </w:tr>
      <w:tr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roadmap-ai-acquisition.md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真实进度和欠账。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稳定 Release PRD 和验收基线。</w:t>
            </w:r>
          </w:p>
        </w:tc>
      </w:tr>
      <w:tr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positioning-and-acquisition-backlog.md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当前范围与开放决策。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批准后的顶层架构。</w:t>
            </w:r>
          </w:p>
        </w:tc>
      </w:tr>
      <w:tr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 Specs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单一 Provider 的 Build-ready 规格。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完整数据平台和买家智能 PRD。</w:t>
            </w:r>
          </w:p>
        </w:tc>
      </w:tr>
      <w:tr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OpenAPI / Scalar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接口机器事实源。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业务对象和用户体验规范。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应补齐的模块文档包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11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</w:t>
            </w:r>
          </w:p>
        </w:tc>
        <w:tc>
          <w:tcPr>
            <w:tcW w:type="dxa" w:w="6123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核心内容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获客模块 PRD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用户目标、输入、Candidate/Lead 边界、功能 Gate、异常、反馈和业务验收。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Buyer Intelligence Domain Spec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领域对象、状态、服务、事件、Owner 和跨域关系。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 Rights &amp; Deletion Spec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SourcePolicy、字段权利、PII 分级、Suppression、DSR 和删除流程。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Task &amp; Eval Spec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Task 目录、Schema、Prompt、模型、工具、Golden Set、阈值和回滚。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 Onboarding Standard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SourceClass、Capability、License、Security、Contract、Test、Cost 和 Exit。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 Handoff Contract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CandidateBatch、Decision Feedback、LeadQualified Event 和版本。</w:t>
            </w:r>
          </w:p>
        </w:tc>
      </w:tr>
      <w:tr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Pilot Acceptance Plan</w:t>
            </w:r>
          </w:p>
        </w:tc>
        <w:tc>
          <w:tcPr>
            <w:tcW w:type="dxa" w:w="612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真实样本、业务验收、成本、质量、SLO 和停止条件。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文档 ID、状态与追踪规范</w:t>
      </w:r>
    </w:p>
    <w:p>
      <w:pPr>
        <w:pStyle w:val="Heading2"/>
        <w:keepNext/>
      </w:pPr>
      <w:r>
        <w:t>5.1 ID 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格式</w:t>
            </w:r>
          </w:p>
        </w:tc>
        <w:tc>
          <w:tcPr>
            <w:tcW w:type="dxa" w:w="413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Product Decision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PDR-003 Candidate/Lead/QGO 统一定义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Architecture Decision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ADR-010 OpenAPI code-first 与版本策略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Requirement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DOMAIN-###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BUY-021 Candidate Batch 回传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Page/UX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PG-### / UX-###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PG-006 Lead Explorer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Event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EVT-domain.name.v#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EVT-buyer.lead-qualified.v1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Schema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SCH-domain.object.v#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SCH-buyer.candidate-batch.v1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POL-014 Personal Data Export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Validation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VAL-###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VAL-008 Trade Fair Data Rights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Risk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RSK-###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RSK-012 Cross-tenant Trace Leakage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Epic/Test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EPIC-### / TEST-###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EPIC-BUY-03 / TEST-BUY-047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状态体系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</w:t>
            </w:r>
          </w:p>
        </w:tc>
        <w:tc>
          <w:tcPr>
            <w:tcW w:type="dxa" w:w="413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DRAFT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正在形成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不得作为开发硬约束。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PROPOSED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等待评审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可以 Spike，不得生产。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APPROVED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正式基线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偏离必须走变更流程。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VALIDATION_REQUIRED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方向保留但证据不足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必须有 Owner、方法、阈值和截止时间。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DEFERRED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当前不做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不得进入当前 Release。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REJECTED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明确不做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不得以默认形式重新加入。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SUPERSEDED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被新决策替代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必须保留替代关系。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IMPLEMENTED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代码已实现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仍需验证与 Release Evidence。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VERIFIED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通过验收/生产证据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可以作为当前事实。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追踪链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1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最小追踪链：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PDR/Goal → Requirement → Page/Domain Object → API/Event/Schema → ADR/Policy → Epic/PR → Test → Release Evidence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任何 PR 至少引用 Requirement 或 ADR；任何公共 API/Event 变更必须引用对应 Schema 和 Consumer Test；任何 AI 变更必须引用 Eval 数据集和结果。</w:t>
      </w:r>
    </w:p>
    <w:p>
      <w:pPr>
        <w:pStyle w:val="Heading1"/>
        <w:keepNext/>
      </w:pPr>
      <w:r>
        <w:t>6. 评审、变更与发布治理</w:t>
      </w:r>
    </w:p>
    <w:p>
      <w:pPr>
        <w:pStyle w:val="Heading2"/>
        <w:keepNext/>
      </w:pPr>
      <w:r>
        <w:t>6.1 四类评审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评审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5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产品评审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用户问题、价值、范围、成功指标、非目标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PDR、Requirement、Release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架构评审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领域边界、数据所有权、C4、NFR、迁移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ADR、风险与演进路径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Contract Review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OpenAPI/AsyncAPI/Schema、兼容性、错误、幂等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冻结版本、Client/Mock、Consumer Test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Release Review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测试、AI Eval、安全、成本、Runbook、回滚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Release Evidence 与 Go/No-Go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文档变更规则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权威事实只修改 Owner 文档，引用文档不复制正文。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Breaking Change 必须先批准 PDR/ADR，再修改 Schema 和代码。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研究事实和供应商参数进入 Evidence/Provider Registry，不写死在产品宪章。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当前实现状态由 Roadmap/Release Evidence 维护，不回写为长期产品原则。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每次 Release 关闭已实现、验证、延期和拒绝的 Requirement，并更新版本声明。</w:t>
      </w:r>
    </w:p>
    <w:p>
      <w:pPr>
        <w:pStyle w:val="Heading2"/>
        <w:keepNext/>
      </w:pPr>
      <w:r>
        <w:t>6.3 AI 开发 Agent 的输入边界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Claude Code/Codex 在开始 Epic 前必须获得：批准的 Requirement、领域对象和状态、API/Event Schema、权限/Policy、数据权利、测试、不可修改边界、ADR 和回滚。AI 不得自行决定产品范围、Provider 合法性、商标、合规和业务主数据归属。</w:t>
      </w:r>
    </w:p>
    <w:p>
      <w:pPr>
        <w:pStyle w:val="Heading1"/>
        <w:keepNext/>
      </w:pPr>
      <w:r>
        <w:t>7. 三阶段重构计划</w:t>
      </w:r>
    </w:p>
    <w:p>
      <w:pPr>
        <w:pStyle w:val="Heading2"/>
        <w:keepNext/>
      </w:pPr>
      <w:r>
        <w:t>7.1 阶段一：冻结与抽取（1 周）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冻结 v3.0 两份综合稿，停止继续追加。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批准《顶层产品与系统架构设计 v1.0》。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建立 PDR/ADR/Requirement/Validation Register。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从 v3.0 抽取 Product Charter 和 Domain Catalog。</w:t>
      </w:r>
    </w:p>
    <w:p>
      <w:pPr>
        <w:pStyle w:val="Heading2"/>
        <w:keepNext/>
      </w:pPr>
      <w:r>
        <w:t>7.2 阶段二：当前能力 Dev-Ready（2-3 周）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完成 AI 获客模块 PRD、Domain Spec、Candidate Handoff 和 Data Rights/Delete。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把现有三后端任务书映射到统一 Requirement 和 Gate。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将 OpenAPI、Event Schema、Test Matrix 和 Roadmap 建立追踪。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关闭 JWKS、QGO、Policy 宿主和 System of Record 决策。</w:t>
      </w:r>
    </w:p>
    <w:p>
      <w:pPr>
        <w:pStyle w:val="Heading2"/>
        <w:keepNext/>
      </w:pPr>
      <w:r>
        <w:t>7.3 阶段三：后续能力滚动建设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每次只为下一纵向能力生成模块 PRD 与技术包。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Campaign/Outbound/Inbox/QGO 逐能力进入 Development Ready。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内容、视频、AiToEarn、Chatwoot、Pack/Expert 在对应能力开始前再完成专项文档和 Spike。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季度回顾 Product Charter 和 Top Architecture，不因单次 Sprint 频繁改动。</w:t>
      </w:r>
    </w:p>
    <w:p>
      <w:pPr>
        <w:pStyle w:val="Heading1"/>
        <w:keepNext/>
      </w:pPr>
      <w:r>
        <w:t>8. 模板与验收清单</w:t>
      </w:r>
    </w:p>
    <w:p>
      <w:pPr>
        <w:pStyle w:val="Heading2"/>
        <w:keepNext/>
      </w:pPr>
      <w:r>
        <w:t>8.1 模块 PRD 模板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目标、用户、业务价值、范围、非目标和指标。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端到端流程、人工 Gate、异常和恢复。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对象、状态、规则、权限、AI 行为和证据。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页面/组件/Empty/Loading/Partial/Error/Permission/Conflict。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API/Event/Data/Policy/Integration 依赖。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Given/When/Then、UAT、SLO、成本和 Release Gate。</w:t>
      </w:r>
    </w:p>
    <w:p>
      <w:pPr>
        <w:pStyle w:val="Heading2"/>
        <w:keepNext/>
      </w:pPr>
      <w:r>
        <w:t>8.2 技术规范模板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C4 Context/Container/Component。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领域 Owner、事务边界、数据所有权和一致性。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OpenAPI/AsyncAPI/Schema 与兼容策略。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安全、RLS、PII、Rights、Secret、审计和删除。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Workflow、重试、幂等、补偿、Webhook 和 DLQ。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Observability、SLO、容量、成本、故障演练和 Exit Plan。</w:t>
      </w:r>
    </w:p>
    <w:p>
      <w:pPr>
        <w:pStyle w:val="Heading2"/>
        <w:keepNext/>
      </w:pPr>
      <w:r>
        <w:t>8.3 文档体系验收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同一事实只有一个 Owner 文档。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所有当前 Epic 可追溯到 Requirement/ADR/Test。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任何新人能在 30 分钟内判断“产品是什么、当前做什么、对象归谁、接口在哪里”。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任何 AI Agent 都能在不猜测产品边界的情况下获得完整开发输入。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产品长期蓝图与当前 Release 既一致又不互相绑架。</w:t>
      </w:r>
    </w:p>
    <w:p>
      <w:pPr>
        <w:pStyle w:val="Heading1"/>
        <w:keepNext/>
      </w:pPr>
      <w:r>
        <w:t>附录 A：旧章节到新文档映射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旧内容</w:t>
            </w:r>
          </w:p>
        </w:tc>
        <w:tc>
          <w:tcPr>
            <w:tcW w:type="dxa" w:w="425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72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新归属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产品手册 0-3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文档治理、产品定义、市场、用户、商业模式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N0 产品宪章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产品手册 4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16 条原则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N0 原则摘要 + N1 架构原则 + 各技术规范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产品手册 5-6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端到端闭环、体验与 IA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N1 产品架构 + 各模块 PRD/UX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产品手册 7-11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能力、数据、AI、OSS、总体架构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N1/N4/N5/N6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产品手册 12-15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NFR、Release、质量、治理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N2 Release + N7 Engineering + 安全/运维规范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总体 PRD 1-6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版本、用户旅程、对象、页面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N2 Release PRD + L3 模块 PRD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总体 PRD 7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18 个需求域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拆为能力模块 PRD；保留 Requirement 映射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总体 PRD 8-12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Data/AI/OSS/Architecture/NFR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N4/N5/N6 与专题技术规范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总体 PRD 13-15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Release、质量、工程治理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N2/N7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附录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对象、OSS、验证、供应商、开发拆分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Registry、Schema、模板和 Archive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B：建议的新文档清单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328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</w:t>
            </w:r>
          </w:p>
        </w:tc>
        <w:tc>
          <w:tcPr>
            <w:tcW w:type="dxa" w:w="113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17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产品宪章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待从 v3.0 抽取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Product Lead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顶层产品与系统架构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本次已交付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Product Architect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能力路线图与 Release Plan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待编制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Product/PM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获客模块 PRD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待编制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Buyer Intelligence PO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Domain Catalog &amp; Data Ownership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待编制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Architect/Data Lead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AI/Workflow/Policy Architecture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已有 discovery 文档，需平台化重构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AI/Platform Lead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 Rights &amp; Deletion Spec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待补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Data/Security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 Handoff Contract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待冻结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API/Buyer Lead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Integration &amp; OSS Governance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P1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已有 Registry，需完整化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Platform Lead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 Control PRD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P1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下一能力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Growth PO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Controlled Outbound PRD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P1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后续能力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Channel PO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Unified Inbox &amp; QGO PRD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P1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后续能力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Engage PO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Opportunity &amp; Attribution PRD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P2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后续能力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Revenue PO</w:t>
            </w:r>
          </w:p>
        </w:tc>
      </w:tr>
      <w:tr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Engineering Playbook</w:t>
            </w:r>
          </w:p>
        </w:tc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P0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已有零散文档，需统一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Engineering Lead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5E6B78"/>
        <w:sz w:val="18"/>
      </w:rPr>
      <w:t>全球客户开发与增长执行平台｜文档治理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8C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2030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Note">
    <w:name w:val="Architecture Note"/>
    <w:pPr>
      <w:spacing w:before="80" w:after="120"/>
      <w:ind w:left="227" w:right="113"/>
    </w:pPr>
    <w:rPr>
      <w:rFonts w:ascii="Noto Sans CJK SC" w:hAnsi="Noto Sans CJK SC" w:eastAsia="Noto Sans CJK SC"/>
      <w:color w:val="203040"/>
      <w:sz w:val="19"/>
    </w:rPr>
  </w:style>
  <w:style w:type="paragraph" w:customStyle="1" w:styleId="TableText">
    <w:name w:val="Table Text"/>
    <w:pPr>
      <w:spacing w:after="0" w:line="252" w:lineRule="auto"/>
    </w:pPr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