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0EE1E" w14:textId="77777777" w:rsidR="00DA2522" w:rsidRDefault="00000000">
      <w:pPr>
        <w:pStyle w:val="Title"/>
        <w:jc w:val="center"/>
      </w:pPr>
      <w:r>
        <w:t>Trustworthy Agent Memory in Financial Services</w:t>
      </w:r>
    </w:p>
    <w:p w14:paraId="4C3BDE19" w14:textId="77777777" w:rsidR="00DA2522" w:rsidRDefault="00000000">
      <w:pPr>
        <w:pStyle w:val="Subtitle"/>
        <w:jc w:val="center"/>
      </w:pPr>
      <w:r>
        <w:t>Regulatory Landscape, Governance Architecture, and Control Framework for RockAI Memory Libraries</w:t>
      </w:r>
    </w:p>
    <w:p w14:paraId="2FC43FD2" w14:textId="77777777" w:rsidR="00DA2522" w:rsidRDefault="00000000">
      <w:pPr>
        <w:jc w:val="center"/>
      </w:pPr>
      <w:r>
        <w:rPr>
          <w:i/>
          <w:color w:val="505A69"/>
          <w:sz w:val="21"/>
        </w:rPr>
        <w:t>Research memorandum — draft for engineering, research, compliance, privacy, and technology-risk discussion</w:t>
      </w:r>
    </w:p>
    <w:p w14:paraId="16D133DB" w14:textId="77777777" w:rsidR="00DA2522" w:rsidRDefault="00000000">
      <w:pPr>
        <w:jc w:val="center"/>
      </w:pPr>
      <w:r>
        <w:rPr>
          <w:b/>
          <w:color w:val="14375A"/>
        </w:rPr>
        <w:t>Current through 21 September 2026</w:t>
      </w:r>
    </w:p>
    <w:p w14:paraId="72BF26DB" w14:textId="77777777" w:rsidR="00DA2522" w:rsidRDefault="00DA2522"/>
    <w:p w14:paraId="2A4298A5" w14:textId="77777777" w:rsidR="00DA2522" w:rsidRDefault="00000000">
      <w:pPr>
        <w:pStyle w:val="MemoCallout"/>
      </w:pPr>
      <w:r>
        <w:rPr>
          <w:b/>
        </w:rPr>
        <w:t xml:space="preserve">Purpose. </w:t>
      </w:r>
      <w:r>
        <w:t>This memorandum synthesizes current legal, regulatory, supervisory, standards, security, and technical evidence relevant to persistent agent memory. It is intended to become the research foundation for future RockAI trustworthy-memory guidelines and backend conformance requirements. It is not legal advice; applicability and legal interpretations should be confirmed by Legal, Privacy, Compliance, Information Security, Records Management, and applicable business control functions.</w:t>
      </w:r>
    </w:p>
    <w:p w14:paraId="57E6B9CC" w14:textId="77777777" w:rsidR="00DA2522" w:rsidRDefault="00000000">
      <w:r>
        <w:br w:type="page"/>
      </w:r>
    </w:p>
    <w:p w14:paraId="4972A85E" w14:textId="77777777" w:rsidR="00DA2522" w:rsidRDefault="00000000">
      <w:pPr>
        <w:pStyle w:val="Heading1"/>
      </w:pPr>
      <w:r>
        <w:lastRenderedPageBreak/>
        <w:t>Executive Summary</w:t>
      </w:r>
    </w:p>
    <w:p w14:paraId="4EB1EF25" w14:textId="77777777" w:rsidR="00DA2522" w:rsidRDefault="00000000">
      <w:pPr>
        <w:spacing w:after="100" w:line="252" w:lineRule="auto"/>
      </w:pPr>
      <w:r>
        <w:t>No major regime currently regulates “agent memory” as a named technology category. Nevertheless, persistent memory sits at the intersection of data protection, AI governance, financial-sector safeguards, recordkeeping, operational resilience, third-party risk, cybersecurity, and model/technology risk. When these frameworks are mapped onto the memory lifecycle, they imply a concrete governance architecture rather than a vague set of principles.</w:t>
      </w:r>
    </w:p>
    <w:p w14:paraId="1B3045D8" w14:textId="77777777" w:rsidR="00DA2522" w:rsidRDefault="00000000">
      <w:pPr>
        <w:spacing w:after="80"/>
      </w:pPr>
      <w:r>
        <w:rPr>
          <w:b/>
        </w:rPr>
        <w:t xml:space="preserve">1. Persistence changes the risk model. </w:t>
      </w:r>
      <w:r>
        <w:t>A transient model error may disappear after a turn; a memory error can be stored, retrieved repeatedly, propagated through a knowledge graph, distilled into summaries, influence later decisions, and survive across sessions or agents.</w:t>
      </w:r>
    </w:p>
    <w:p w14:paraId="25F43C6C" w14:textId="77777777" w:rsidR="00DA2522" w:rsidRDefault="00000000">
      <w:pPr>
        <w:spacing w:after="80"/>
      </w:pPr>
      <w:r>
        <w:rPr>
          <w:b/>
        </w:rPr>
        <w:t xml:space="preserve">2. GDPR is the most direct memory-specific legal anchor when EU personal data are involved. </w:t>
      </w:r>
      <w:r>
        <w:t>Its purpose limitation, data minimisation, accuracy, storage limitation, rectification, restriction, erasure, portability, privacy-by-design, security, records-of-processing, DPIA, and international-transfer provisions map directly onto memory write, store, derive, retrieve, update, delete, export, and provider-routing operations. [R1–R3]</w:t>
      </w:r>
    </w:p>
    <w:p w14:paraId="25BEC39E" w14:textId="77777777" w:rsidR="00DA2522" w:rsidRDefault="00000000">
      <w:pPr>
        <w:spacing w:after="80"/>
      </w:pPr>
      <w:r>
        <w:rPr>
          <w:b/>
        </w:rPr>
        <w:t xml:space="preserve">3. The EU AI Act governs the AI system/use case, not “memory” in isolation. </w:t>
      </w:r>
      <w:r>
        <w:t>Where a memory-enabled application falls into covered or high-risk categories, memory must support system-level risk management, data governance, technical documentation, logging, human oversight, robustness, cybersecurity, and deployer controls. The current consolidated Act applies generally from 2 August 2026, while Chapter III Sections 1–3 apply to Annex III high-risk systems from 2 December 2027 and Article 6(1)/Annex I high-risk systems from 2 August 2028. These dates reflect the Digital Omnibus on AI, Regulation (EU) 2026/1744, published in the Official Journal on 24 July 2026 and in force from 27 July 2026 — this is now enacted law amending the AI Act, not a pending legislative proposal, and should not be confused with the original (now superseded) 2 August 2026 high-risk date. The same Omnibus also deferred national AI regulatory sandbox obligations to 2 August 2027 and Article 50(2) transparency for legacy systems to 2 December 2026, while leaving Article 5 prohibited practices and Articles 51–55 (GPAI/systemic-risk obligations) unchanged. [R4, R33]</w:t>
      </w:r>
    </w:p>
    <w:p w14:paraId="226349B6" w14:textId="77777777" w:rsidR="00DA2522" w:rsidRDefault="00000000">
      <w:pPr>
        <w:spacing w:after="80"/>
      </w:pPr>
      <w:r>
        <w:rPr>
          <w:b/>
        </w:rPr>
        <w:t xml:space="preserve">4. In U.S. financial services, the strongest directly relevant anchors are data/security and sector AI-risk frameworks. </w:t>
      </w:r>
      <w:r>
        <w:t>SEC Regulation S-P is binding for covered registered investment advisers and other covered institutions, with amended safeguards, incident-response, notification, disposal, service-provider, and recordkeeping requirements; larger entities have been required to comply since 3 December 2025. Treasury’s 2026 Financial Services AI Risk Management Framework provides the most directly relevant sector-wide AI governance playbook. [R5–R7]</w:t>
      </w:r>
    </w:p>
    <w:p w14:paraId="560F7F44" w14:textId="77777777" w:rsidR="00DA2522" w:rsidRDefault="00000000">
      <w:pPr>
        <w:spacing w:after="80"/>
      </w:pPr>
      <w:r>
        <w:rPr>
          <w:b/>
        </w:rPr>
        <w:t xml:space="preserve">5. SR 26-2 is informative but should not be treated as the primary rule for agentic memory. </w:t>
      </w:r>
      <w:r>
        <w:t>The April 2026 banking-agency guidance expressly excludes generative and agentic AI from its model definition, while stating that a banking organization’s broader governance practices should determine appropriate controls for systems outside scope. Its validation, inventory, change-management, and vendor-risk principles remain useful analogues. [R8]</w:t>
      </w:r>
    </w:p>
    <w:p w14:paraId="2B923DBA" w14:textId="77777777" w:rsidR="00DA2522" w:rsidRDefault="00000000">
      <w:pPr>
        <w:spacing w:after="80"/>
      </w:pPr>
      <w:r>
        <w:rPr>
          <w:b/>
        </w:rPr>
        <w:t xml:space="preserve">6. Third-party and open-source memory libraries remain an enterprise responsibility. </w:t>
      </w:r>
      <w:r>
        <w:t>Open source improves inspectability but does not guarantee security, deletion semantics, data isolation, service continuity, provider routing, or regulatory fitness. Graphiti’s March 2026 high-severity Cypher-injection advisory illustrates why version pinning, SBOM/CVE monitoring, least privilege, adversarial testing, and controlled upgrade/rollback are necessary. [R9–R11]</w:t>
      </w:r>
    </w:p>
    <w:p w14:paraId="2456E33C" w14:textId="77777777" w:rsidR="00DA2522" w:rsidRDefault="00000000">
      <w:pPr>
        <w:spacing w:after="80"/>
      </w:pPr>
      <w:r>
        <w:rPr>
          <w:b/>
        </w:rPr>
        <w:t xml:space="preserve">7. Graph memory is governable only if provenance and policy are first-class. </w:t>
      </w:r>
      <w:r>
        <w:t>A graph edge such as User→PREFERS→X should not be treated as a self-authenticating fact. The system should know whether it was explicitly stated, extracted, inferred, or derived; which source supports it; when it was valid; how confident the system is; who may retrieve it; for what purpose; and how correction or erasure propagates.</w:t>
      </w:r>
    </w:p>
    <w:p w14:paraId="34584665" w14:textId="77777777" w:rsidR="00DA2522" w:rsidRDefault="00000000">
      <w:pPr>
        <w:spacing w:after="80"/>
      </w:pPr>
      <w:r>
        <w:rPr>
          <w:b/>
        </w:rPr>
        <w:t xml:space="preserve">8. The recommended architecture is a RockAI-owned governance plane above replaceable backends. </w:t>
      </w:r>
      <w:r>
        <w:t xml:space="preserve">Memoria, Graphiti, Mem0, Zep, or future memory engines should sit behind a common governance gateway that </w:t>
      </w:r>
      <w:r>
        <w:lastRenderedPageBreak/>
        <w:t>enforces purpose, legal basis, sensitivity, information barriers, authorization, provenance, retention, lifecycle state, audit, provider routing, and deletion/subject-rights orchestration.</w:t>
      </w:r>
    </w:p>
    <w:p w14:paraId="3991631D" w14:textId="77777777" w:rsidR="00DA2522" w:rsidRDefault="00000000">
      <w:pPr>
        <w:spacing w:after="80"/>
      </w:pPr>
      <w:r>
        <w:rPr>
          <w:b/>
        </w:rPr>
        <w:t xml:space="preserve">9. The control framework should be testable, not only documented. </w:t>
      </w:r>
      <w:r>
        <w:t>Governance should be converted into backend conformance tests and measurable indicators such as lineage coverage, erasure completeness, cross-scope leakage rate, stale-memory utilization rate, unsupported-inference rate, purpose-violation rate, and rollback/failover performance.</w:t>
      </w:r>
    </w:p>
    <w:p w14:paraId="199421E2" w14:textId="77777777" w:rsidR="00DA2522" w:rsidRDefault="00000000">
      <w:pPr>
        <w:spacing w:after="80"/>
      </w:pPr>
      <w:r>
        <w:rPr>
          <w:b/>
        </w:rPr>
        <w:t xml:space="preserve">10. Financial-services-specific controls must be stronger than generic privacy controls. </w:t>
      </w:r>
      <w:r>
        <w:t>Persistent memory must respect information barriers, MNPI/confidentiality boundaries, authoritative systems of record, adviser recordkeeping, legal holds, incident response, and platform-level concentration/substitutability risk.</w:t>
      </w:r>
    </w:p>
    <w:p w14:paraId="62E4A67A" w14:textId="77777777" w:rsidR="00DA2522" w:rsidRDefault="00000000">
      <w:pPr>
        <w:spacing w:after="100" w:line="252" w:lineRule="auto"/>
      </w:pPr>
      <w:r>
        <w:rPr>
          <w:b/>
        </w:rPr>
        <w:t xml:space="preserve">9. Design review changed the framework in six places. </w:t>
      </w:r>
      <w:r>
        <w:t>The control catalogue (C1–C27) was assessed against a realistic agent workload after the regulatory mapping was complete. That review added six controls (C28–C33: consolidation-job governance, memory→skill promotion, composition leakage, subject-facing transparency, agent identity, backbone-change management), a minimum-viable-governed-memory set of eight controls for an internal-only pilot, an interface × actor threat matrix, two additional admission gates (performance, human oversight), and utility-paired metrics — because a memory store that remembers nothing would otherwise score perfectly on every governance ratio. See Sections 9.1, 10.1, 11.1, 12.1–12.2, 13.1, 14.1 and 15.1.</w:t>
      </w:r>
    </w:p>
    <w:p w14:paraId="78D38C2E" w14:textId="77777777" w:rsidR="00DA2522" w:rsidRDefault="00000000">
      <w:pPr>
        <w:pStyle w:val="Heading1"/>
      </w:pPr>
      <w:r>
        <w:t>1. Scope, Definitions, and Why Agent Memory Is Different</w:t>
      </w:r>
    </w:p>
    <w:p w14:paraId="66B5B632" w14:textId="77777777" w:rsidR="00DA2522" w:rsidRDefault="00000000">
      <w:pPr>
        <w:spacing w:after="100" w:line="252" w:lineRule="auto"/>
      </w:pPr>
      <w:r>
        <w:t>For this memorandum, “agent memory” means information intentionally persisted or maintained so that an AI agent can reuse prior observations, user-specific information, task state, experiences, learned procedures, or derived knowledge in future interactions. The term includes explicit text records, summaries, vector embeddings, graph nodes and edges, metadata, episodic traces, semantic facts, procedural memories, caches used as persistent state, and any derived representations that remain available beyond the immediate turn.</w:t>
      </w:r>
    </w:p>
    <w:tbl>
      <w:tblPr>
        <w:tblStyle w:val="TableGrid"/>
        <w:tblW w:w="0" w:type="auto"/>
        <w:jc w:val="center"/>
        <w:tblLook w:val="04A0" w:firstRow="1" w:lastRow="0" w:firstColumn="1" w:lastColumn="0" w:noHBand="0" w:noVBand="1"/>
      </w:tblPr>
      <w:tblGrid>
        <w:gridCol w:w="1863"/>
        <w:gridCol w:w="3432"/>
        <w:gridCol w:w="4857"/>
      </w:tblGrid>
      <w:tr w:rsidR="00DA2522" w14:paraId="69BCA5F8" w14:textId="77777777">
        <w:trPr>
          <w:jc w:val="center"/>
        </w:trPr>
        <w:tc>
          <w:tcPr>
            <w:tcW w:w="1872" w:type="dxa"/>
            <w:shd w:val="clear" w:color="auto" w:fill="173A5E"/>
            <w:vAlign w:val="center"/>
          </w:tcPr>
          <w:p w14:paraId="641B952C" w14:textId="77777777" w:rsidR="00DA2522" w:rsidRDefault="00000000">
            <w:r>
              <w:rPr>
                <w:b/>
                <w:color w:val="FFFFFF"/>
                <w:sz w:val="17"/>
              </w:rPr>
              <w:t>Concept</w:t>
            </w:r>
          </w:p>
        </w:tc>
        <w:tc>
          <w:tcPr>
            <w:tcW w:w="3456" w:type="dxa"/>
            <w:shd w:val="clear" w:color="auto" w:fill="173A5E"/>
            <w:vAlign w:val="center"/>
          </w:tcPr>
          <w:p w14:paraId="1136A03D" w14:textId="77777777" w:rsidR="00DA2522" w:rsidRDefault="00000000">
            <w:r>
              <w:rPr>
                <w:b/>
                <w:color w:val="FFFFFF"/>
                <w:sz w:val="17"/>
              </w:rPr>
              <w:t>Working definition</w:t>
            </w:r>
          </w:p>
        </w:tc>
        <w:tc>
          <w:tcPr>
            <w:tcW w:w="4896" w:type="dxa"/>
            <w:shd w:val="clear" w:color="auto" w:fill="173A5E"/>
            <w:vAlign w:val="center"/>
          </w:tcPr>
          <w:p w14:paraId="77AE032C" w14:textId="77777777" w:rsidR="00DA2522" w:rsidRDefault="00000000">
            <w:r>
              <w:rPr>
                <w:b/>
                <w:color w:val="FFFFFF"/>
                <w:sz w:val="17"/>
              </w:rPr>
              <w:t>Governance implication</w:t>
            </w:r>
          </w:p>
        </w:tc>
      </w:tr>
      <w:tr w:rsidR="00DA2522" w14:paraId="2C942A80" w14:textId="77777777">
        <w:trPr>
          <w:jc w:val="center"/>
        </w:trPr>
        <w:tc>
          <w:tcPr>
            <w:tcW w:w="1872" w:type="dxa"/>
            <w:vAlign w:val="center"/>
          </w:tcPr>
          <w:p w14:paraId="05380605" w14:textId="77777777" w:rsidR="00DA2522" w:rsidRDefault="00000000">
            <w:r>
              <w:rPr>
                <w:sz w:val="17"/>
              </w:rPr>
              <w:t>Context</w:t>
            </w:r>
          </w:p>
        </w:tc>
        <w:tc>
          <w:tcPr>
            <w:tcW w:w="3456" w:type="dxa"/>
            <w:vAlign w:val="center"/>
          </w:tcPr>
          <w:p w14:paraId="514BA902" w14:textId="77777777" w:rsidR="00DA2522" w:rsidRDefault="00000000">
            <w:r>
              <w:rPr>
                <w:sz w:val="17"/>
              </w:rPr>
              <w:t>Information currently exposed to a model during inference.</w:t>
            </w:r>
          </w:p>
        </w:tc>
        <w:tc>
          <w:tcPr>
            <w:tcW w:w="4896" w:type="dxa"/>
            <w:vAlign w:val="center"/>
          </w:tcPr>
          <w:p w14:paraId="5E9F9E99" w14:textId="77777777" w:rsidR="00DA2522" w:rsidRDefault="00000000">
            <w:r>
              <w:rPr>
                <w:sz w:val="17"/>
              </w:rPr>
              <w:t>May be ephemeral, but can still carry regulated data and must obey access/use controls.</w:t>
            </w:r>
          </w:p>
        </w:tc>
      </w:tr>
      <w:tr w:rsidR="00DA2522" w14:paraId="2493088E" w14:textId="77777777">
        <w:trPr>
          <w:jc w:val="center"/>
        </w:trPr>
        <w:tc>
          <w:tcPr>
            <w:tcW w:w="1872" w:type="dxa"/>
            <w:shd w:val="clear" w:color="auto" w:fill="F3F6F9"/>
            <w:vAlign w:val="center"/>
          </w:tcPr>
          <w:p w14:paraId="4B2F3EF3" w14:textId="77777777" w:rsidR="00DA2522" w:rsidRDefault="00000000">
            <w:r>
              <w:rPr>
                <w:sz w:val="17"/>
              </w:rPr>
              <w:t>State</w:t>
            </w:r>
          </w:p>
        </w:tc>
        <w:tc>
          <w:tcPr>
            <w:tcW w:w="3456" w:type="dxa"/>
            <w:shd w:val="clear" w:color="auto" w:fill="F3F6F9"/>
            <w:vAlign w:val="center"/>
          </w:tcPr>
          <w:p w14:paraId="6E8ED0EF" w14:textId="77777777" w:rsidR="00DA2522" w:rsidRDefault="00000000">
            <w:r>
              <w:rPr>
                <w:sz w:val="17"/>
              </w:rPr>
              <w:t>Information required to continue execution of a workflow or task.</w:t>
            </w:r>
          </w:p>
        </w:tc>
        <w:tc>
          <w:tcPr>
            <w:tcW w:w="4896" w:type="dxa"/>
            <w:shd w:val="clear" w:color="auto" w:fill="F3F6F9"/>
            <w:vAlign w:val="center"/>
          </w:tcPr>
          <w:p w14:paraId="77F246CC" w14:textId="77777777" w:rsidR="00DA2522" w:rsidRDefault="00000000">
            <w:r>
              <w:rPr>
                <w:sz w:val="17"/>
              </w:rPr>
              <w:t>Requires integrity, isolation, recovery, and lifecycle controls even if not intended for long-term reuse.</w:t>
            </w:r>
          </w:p>
        </w:tc>
      </w:tr>
      <w:tr w:rsidR="00DA2522" w14:paraId="2FE09ACE" w14:textId="77777777">
        <w:trPr>
          <w:jc w:val="center"/>
        </w:trPr>
        <w:tc>
          <w:tcPr>
            <w:tcW w:w="1872" w:type="dxa"/>
            <w:vAlign w:val="center"/>
          </w:tcPr>
          <w:p w14:paraId="37BC0096" w14:textId="77777777" w:rsidR="00DA2522" w:rsidRDefault="00000000">
            <w:r>
              <w:rPr>
                <w:sz w:val="17"/>
              </w:rPr>
              <w:t>Memory</w:t>
            </w:r>
          </w:p>
        </w:tc>
        <w:tc>
          <w:tcPr>
            <w:tcW w:w="3456" w:type="dxa"/>
            <w:vAlign w:val="center"/>
          </w:tcPr>
          <w:p w14:paraId="426F3B88" w14:textId="77777777" w:rsidR="00DA2522" w:rsidRDefault="00000000">
            <w:r>
              <w:rPr>
                <w:sz w:val="17"/>
              </w:rPr>
              <w:t>Information intentionally persisted for future reuse across turns, sessions, tasks, or agents.</w:t>
            </w:r>
          </w:p>
        </w:tc>
        <w:tc>
          <w:tcPr>
            <w:tcW w:w="4896" w:type="dxa"/>
            <w:vAlign w:val="center"/>
          </w:tcPr>
          <w:p w14:paraId="404B9D5C" w14:textId="77777777" w:rsidR="00DA2522" w:rsidRDefault="00000000">
            <w:r>
              <w:rPr>
                <w:sz w:val="17"/>
              </w:rPr>
              <w:t>Creates durable privacy, accuracy, security, retention, deletion, audit, and downstream-use obligations.</w:t>
            </w:r>
          </w:p>
        </w:tc>
      </w:tr>
      <w:tr w:rsidR="00DA2522" w14:paraId="058BE16D" w14:textId="77777777">
        <w:trPr>
          <w:jc w:val="center"/>
        </w:trPr>
        <w:tc>
          <w:tcPr>
            <w:tcW w:w="1872" w:type="dxa"/>
            <w:shd w:val="clear" w:color="auto" w:fill="F3F6F9"/>
            <w:vAlign w:val="center"/>
          </w:tcPr>
          <w:p w14:paraId="569F9625" w14:textId="77777777" w:rsidR="00DA2522" w:rsidRDefault="00000000">
            <w:r>
              <w:rPr>
                <w:sz w:val="17"/>
              </w:rPr>
              <w:t>Knowledge graph memory</w:t>
            </w:r>
          </w:p>
        </w:tc>
        <w:tc>
          <w:tcPr>
            <w:tcW w:w="3456" w:type="dxa"/>
            <w:shd w:val="clear" w:color="auto" w:fill="F3F6F9"/>
            <w:vAlign w:val="center"/>
          </w:tcPr>
          <w:p w14:paraId="434FE3F4" w14:textId="77777777" w:rsidR="00DA2522" w:rsidRDefault="00000000">
            <w:r>
              <w:rPr>
                <w:sz w:val="17"/>
              </w:rPr>
              <w:t>Persistent entities and relationships, often derived from episodes and updated over time.</w:t>
            </w:r>
          </w:p>
        </w:tc>
        <w:tc>
          <w:tcPr>
            <w:tcW w:w="4896" w:type="dxa"/>
            <w:shd w:val="clear" w:color="auto" w:fill="F3F6F9"/>
            <w:vAlign w:val="center"/>
          </w:tcPr>
          <w:p w14:paraId="6AE8F1A9" w14:textId="77777777" w:rsidR="00DA2522" w:rsidRDefault="00000000">
            <w:r>
              <w:rPr>
                <w:sz w:val="17"/>
              </w:rPr>
              <w:t>Edges may encode profiling or inference; lineage, temporal validity, authority, and cascading correction are essential.</w:t>
            </w:r>
          </w:p>
        </w:tc>
      </w:tr>
      <w:tr w:rsidR="00DA2522" w14:paraId="6F6D7BAA" w14:textId="77777777">
        <w:trPr>
          <w:jc w:val="center"/>
        </w:trPr>
        <w:tc>
          <w:tcPr>
            <w:tcW w:w="1872" w:type="dxa"/>
            <w:vAlign w:val="center"/>
          </w:tcPr>
          <w:p w14:paraId="6253BDD4" w14:textId="77777777" w:rsidR="00DA2522" w:rsidRDefault="00000000">
            <w:r>
              <w:rPr>
                <w:sz w:val="17"/>
              </w:rPr>
              <w:t>Procedural memory / skill</w:t>
            </w:r>
          </w:p>
        </w:tc>
        <w:tc>
          <w:tcPr>
            <w:tcW w:w="3456" w:type="dxa"/>
            <w:vAlign w:val="center"/>
          </w:tcPr>
          <w:p w14:paraId="41A666CD" w14:textId="77777777" w:rsidR="00DA2522" w:rsidRDefault="00000000">
            <w:r>
              <w:rPr>
                <w:sz w:val="17"/>
              </w:rPr>
              <w:t>Reusable “how-to” knowledge or policies derived from prior experience.</w:t>
            </w:r>
          </w:p>
        </w:tc>
        <w:tc>
          <w:tcPr>
            <w:tcW w:w="4896" w:type="dxa"/>
            <w:vAlign w:val="center"/>
          </w:tcPr>
          <w:p w14:paraId="27C298D2" w14:textId="77777777" w:rsidR="00DA2522" w:rsidRDefault="00000000">
            <w:r>
              <w:rPr>
                <w:sz w:val="17"/>
              </w:rPr>
              <w:t>Promotion from experience to procedure can propagate errors or unsafe behavior; requires validation and rollback.</w:t>
            </w:r>
          </w:p>
        </w:tc>
      </w:tr>
    </w:tbl>
    <w:p w14:paraId="562E1E9E" w14:textId="77777777" w:rsidR="00DA2522" w:rsidRDefault="00DA2522">
      <w:pPr>
        <w:spacing w:after="0"/>
      </w:pPr>
    </w:p>
    <w:p w14:paraId="425988F6" w14:textId="77777777" w:rsidR="00DA2522" w:rsidRDefault="00000000">
      <w:pPr>
        <w:spacing w:after="100" w:line="252" w:lineRule="auto"/>
      </w:pPr>
      <w:r>
        <w:t>Persistent memory changes the attack and compliance surface in four ways: (i) duration — effects survive the originating interaction; (ii) derivation — one memory can generate new summaries, edges, embeddings, or skills; (iii) reuse — a memory can influence unrelated future decisions; and (iv) propagation — shared or multi-agent memory can spread information beyond its original audience. These properties justify treating memory as a regulated data-processing subsystem, not merely as an LLM feature.</w:t>
      </w:r>
    </w:p>
    <w:p w14:paraId="7FE81EFA" w14:textId="77777777" w:rsidR="00DA2522" w:rsidRDefault="00000000">
      <w:pPr>
        <w:pStyle w:val="Heading1"/>
      </w:pPr>
      <w:r>
        <w:t>2. Regulatory and Governance Landscape</w:t>
      </w:r>
    </w:p>
    <w:p w14:paraId="06F96651" w14:textId="77777777" w:rsidR="00DA2522" w:rsidRDefault="00000000">
      <w:pPr>
        <w:spacing w:after="100" w:line="252" w:lineRule="auto"/>
      </w:pPr>
      <w:r>
        <w:t>The relevant sources differ materially in legal status. The governance framework should therefore label each control by its authority rather than treating all references as equivalent.</w:t>
      </w:r>
    </w:p>
    <w:tbl>
      <w:tblPr>
        <w:tblStyle w:val="TableGrid"/>
        <w:tblW w:w="0" w:type="auto"/>
        <w:jc w:val="center"/>
        <w:tblLook w:val="04A0" w:firstRow="1" w:lastRow="0" w:firstColumn="1" w:lastColumn="0" w:noHBand="0" w:noVBand="1"/>
      </w:tblPr>
      <w:tblGrid>
        <w:gridCol w:w="2049"/>
        <w:gridCol w:w="3861"/>
        <w:gridCol w:w="4242"/>
      </w:tblGrid>
      <w:tr w:rsidR="00DA2522" w14:paraId="134B4C8F" w14:textId="77777777">
        <w:trPr>
          <w:jc w:val="center"/>
        </w:trPr>
        <w:tc>
          <w:tcPr>
            <w:tcW w:w="2088" w:type="dxa"/>
            <w:shd w:val="clear" w:color="auto" w:fill="173A5E"/>
            <w:vAlign w:val="center"/>
          </w:tcPr>
          <w:p w14:paraId="28D6F0E4" w14:textId="77777777" w:rsidR="00DA2522" w:rsidRDefault="00000000">
            <w:r>
              <w:rPr>
                <w:b/>
                <w:color w:val="FFFFFF"/>
                <w:sz w:val="16"/>
              </w:rPr>
              <w:t>Source</w:t>
            </w:r>
          </w:p>
        </w:tc>
        <w:tc>
          <w:tcPr>
            <w:tcW w:w="3960" w:type="dxa"/>
            <w:shd w:val="clear" w:color="auto" w:fill="173A5E"/>
            <w:vAlign w:val="center"/>
          </w:tcPr>
          <w:p w14:paraId="58E42EE5" w14:textId="77777777" w:rsidR="00DA2522" w:rsidRDefault="00000000">
            <w:r>
              <w:rPr>
                <w:b/>
                <w:color w:val="FFFFFF"/>
                <w:sz w:val="16"/>
              </w:rPr>
              <w:t>Status / scope</w:t>
            </w:r>
          </w:p>
        </w:tc>
        <w:tc>
          <w:tcPr>
            <w:tcW w:w="4320" w:type="dxa"/>
            <w:shd w:val="clear" w:color="auto" w:fill="173A5E"/>
            <w:vAlign w:val="center"/>
          </w:tcPr>
          <w:p w14:paraId="44E7FFC0" w14:textId="77777777" w:rsidR="00DA2522" w:rsidRDefault="00000000">
            <w:r>
              <w:rPr>
                <w:b/>
                <w:color w:val="FFFFFF"/>
                <w:sz w:val="16"/>
              </w:rPr>
              <w:t>Memory relevance</w:t>
            </w:r>
          </w:p>
        </w:tc>
      </w:tr>
      <w:tr w:rsidR="00DA2522" w14:paraId="60805120" w14:textId="77777777">
        <w:trPr>
          <w:jc w:val="center"/>
        </w:trPr>
        <w:tc>
          <w:tcPr>
            <w:tcW w:w="2088" w:type="dxa"/>
            <w:vAlign w:val="center"/>
          </w:tcPr>
          <w:p w14:paraId="4AC4BB54" w14:textId="77777777" w:rsidR="00DA2522" w:rsidRDefault="00000000">
            <w:r>
              <w:rPr>
                <w:sz w:val="16"/>
              </w:rPr>
              <w:t>GDPR (EU 2016/679)</w:t>
            </w:r>
          </w:p>
        </w:tc>
        <w:tc>
          <w:tcPr>
            <w:tcW w:w="3960" w:type="dxa"/>
            <w:vAlign w:val="center"/>
          </w:tcPr>
          <w:p w14:paraId="785353E3" w14:textId="77777777" w:rsidR="00DA2522" w:rsidRDefault="00000000">
            <w:r>
              <w:rPr>
                <w:sz w:val="16"/>
              </w:rPr>
              <w:t>Binding EU data-protection law where territorial/material scope is met.</w:t>
            </w:r>
          </w:p>
        </w:tc>
        <w:tc>
          <w:tcPr>
            <w:tcW w:w="4320" w:type="dxa"/>
            <w:vAlign w:val="center"/>
          </w:tcPr>
          <w:p w14:paraId="2FC62B85" w14:textId="77777777" w:rsidR="00DA2522" w:rsidRDefault="00000000">
            <w:r>
              <w:rPr>
                <w:sz w:val="16"/>
              </w:rPr>
              <w:t>Very high: purpose, minimisation, accuracy, profiling, rights, erasure, retention, security, DPIA, transfers.</w:t>
            </w:r>
          </w:p>
        </w:tc>
      </w:tr>
      <w:tr w:rsidR="00DA2522" w14:paraId="2EF247DF" w14:textId="77777777">
        <w:trPr>
          <w:jc w:val="center"/>
        </w:trPr>
        <w:tc>
          <w:tcPr>
            <w:tcW w:w="2088" w:type="dxa"/>
            <w:shd w:val="clear" w:color="auto" w:fill="F3F6F9"/>
            <w:vAlign w:val="center"/>
          </w:tcPr>
          <w:p w14:paraId="35B5213A" w14:textId="77777777" w:rsidR="00DA2522" w:rsidRDefault="00000000">
            <w:r>
              <w:rPr>
                <w:sz w:val="16"/>
              </w:rPr>
              <w:t xml:space="preserve">EU AI Act (EU 2024/1689, </w:t>
            </w:r>
            <w:r>
              <w:rPr>
                <w:sz w:val="16"/>
              </w:rPr>
              <w:lastRenderedPageBreak/>
              <w:t>consolidated 27 Jul 2026)</w:t>
            </w:r>
          </w:p>
        </w:tc>
        <w:tc>
          <w:tcPr>
            <w:tcW w:w="3960" w:type="dxa"/>
            <w:shd w:val="clear" w:color="auto" w:fill="F3F6F9"/>
            <w:vAlign w:val="center"/>
          </w:tcPr>
          <w:p w14:paraId="00C8776E" w14:textId="77777777" w:rsidR="00DA2522" w:rsidRDefault="00000000">
            <w:r>
              <w:rPr>
                <w:sz w:val="16"/>
              </w:rPr>
              <w:lastRenderedPageBreak/>
              <w:t xml:space="preserve">Binding EU AI law; obligations depend on role, </w:t>
            </w:r>
            <w:r>
              <w:rPr>
                <w:sz w:val="16"/>
              </w:rPr>
              <w:lastRenderedPageBreak/>
              <w:t>system classification, use case, and staged dates.</w:t>
            </w:r>
          </w:p>
        </w:tc>
        <w:tc>
          <w:tcPr>
            <w:tcW w:w="4320" w:type="dxa"/>
            <w:shd w:val="clear" w:color="auto" w:fill="F3F6F9"/>
            <w:vAlign w:val="center"/>
          </w:tcPr>
          <w:p w14:paraId="259A63C5" w14:textId="77777777" w:rsidR="00DA2522" w:rsidRDefault="00000000">
            <w:r>
              <w:rPr>
                <w:sz w:val="16"/>
              </w:rPr>
              <w:lastRenderedPageBreak/>
              <w:t xml:space="preserve">High: risk management, data governance, documentation, </w:t>
            </w:r>
            <w:r>
              <w:rPr>
                <w:sz w:val="16"/>
              </w:rPr>
              <w:lastRenderedPageBreak/>
              <w:t>logging, oversight, robustness/cybersecurity, deployer controls.</w:t>
            </w:r>
          </w:p>
        </w:tc>
      </w:tr>
      <w:tr w:rsidR="00DA2522" w14:paraId="6A4F9324" w14:textId="77777777">
        <w:trPr>
          <w:jc w:val="center"/>
        </w:trPr>
        <w:tc>
          <w:tcPr>
            <w:tcW w:w="2088" w:type="dxa"/>
            <w:vAlign w:val="center"/>
          </w:tcPr>
          <w:p w14:paraId="1FBC0A0C" w14:textId="77777777" w:rsidR="00DA2522" w:rsidRDefault="00000000">
            <w:r>
              <w:rPr>
                <w:sz w:val="16"/>
              </w:rPr>
              <w:lastRenderedPageBreak/>
              <w:t>DORA (EU 2022/2554)</w:t>
            </w:r>
          </w:p>
        </w:tc>
        <w:tc>
          <w:tcPr>
            <w:tcW w:w="3960" w:type="dxa"/>
            <w:vAlign w:val="center"/>
          </w:tcPr>
          <w:p w14:paraId="0BDA29E5" w14:textId="77777777" w:rsidR="00DA2522" w:rsidRDefault="00000000">
            <w:r>
              <w:rPr>
                <w:sz w:val="16"/>
              </w:rPr>
              <w:t>Binding EU digital-operational-resilience law for covered financial entities; oversight for designated critical ICT TPPs.</w:t>
            </w:r>
          </w:p>
        </w:tc>
        <w:tc>
          <w:tcPr>
            <w:tcW w:w="4320" w:type="dxa"/>
            <w:vAlign w:val="center"/>
          </w:tcPr>
          <w:p w14:paraId="4B85E283" w14:textId="77777777" w:rsidR="00DA2522" w:rsidRDefault="00000000">
            <w:r>
              <w:rPr>
                <w:sz w:val="16"/>
              </w:rPr>
              <w:t>High for dependency mapping, third-party due diligence, concentration, testing, resilience, exit and substitutability.</w:t>
            </w:r>
          </w:p>
        </w:tc>
      </w:tr>
      <w:tr w:rsidR="00DA2522" w14:paraId="1CA90EDA" w14:textId="77777777">
        <w:trPr>
          <w:jc w:val="center"/>
        </w:trPr>
        <w:tc>
          <w:tcPr>
            <w:tcW w:w="2088" w:type="dxa"/>
            <w:shd w:val="clear" w:color="auto" w:fill="F3F6F9"/>
            <w:vAlign w:val="center"/>
          </w:tcPr>
          <w:p w14:paraId="09CCC29E" w14:textId="77777777" w:rsidR="00DA2522" w:rsidRDefault="00000000">
            <w:r>
              <w:rPr>
                <w:sz w:val="16"/>
              </w:rPr>
              <w:t>SEC Regulation S-P</w:t>
            </w:r>
          </w:p>
        </w:tc>
        <w:tc>
          <w:tcPr>
            <w:tcW w:w="3960" w:type="dxa"/>
            <w:shd w:val="clear" w:color="auto" w:fill="F3F6F9"/>
            <w:vAlign w:val="center"/>
          </w:tcPr>
          <w:p w14:paraId="0F52E884" w14:textId="77777777" w:rsidR="00DA2522" w:rsidRDefault="00000000">
            <w:r>
              <w:rPr>
                <w:sz w:val="16"/>
              </w:rPr>
              <w:t>Binding U.S. SEC rule for covered institutions including registered investment advisers.</w:t>
            </w:r>
          </w:p>
        </w:tc>
        <w:tc>
          <w:tcPr>
            <w:tcW w:w="4320" w:type="dxa"/>
            <w:shd w:val="clear" w:color="auto" w:fill="F3F6F9"/>
            <w:vAlign w:val="center"/>
          </w:tcPr>
          <w:p w14:paraId="7AAEBD82" w14:textId="77777777" w:rsidR="00DA2522" w:rsidRDefault="00000000">
            <w:r>
              <w:rPr>
                <w:sz w:val="16"/>
              </w:rPr>
              <w:t>High for customer-information safeguards, incident response, notification, service-provider oversight, disposal, records.</w:t>
            </w:r>
          </w:p>
        </w:tc>
      </w:tr>
      <w:tr w:rsidR="00DA2522" w14:paraId="372D5483" w14:textId="77777777">
        <w:trPr>
          <w:jc w:val="center"/>
        </w:trPr>
        <w:tc>
          <w:tcPr>
            <w:tcW w:w="2088" w:type="dxa"/>
            <w:vAlign w:val="center"/>
          </w:tcPr>
          <w:p w14:paraId="1CAB86F5" w14:textId="77777777" w:rsidR="00DA2522" w:rsidRDefault="00000000">
            <w:r>
              <w:rPr>
                <w:sz w:val="16"/>
              </w:rPr>
              <w:t>Investment Adviser Rule 204-2</w:t>
            </w:r>
          </w:p>
        </w:tc>
        <w:tc>
          <w:tcPr>
            <w:tcW w:w="3960" w:type="dxa"/>
            <w:vAlign w:val="center"/>
          </w:tcPr>
          <w:p w14:paraId="7B651C99" w14:textId="77777777" w:rsidR="00DA2522" w:rsidRDefault="00000000">
            <w:r>
              <w:rPr>
                <w:sz w:val="16"/>
              </w:rPr>
              <w:t>Binding U.S. adviser books-and-records rule for covered records.</w:t>
            </w:r>
          </w:p>
        </w:tc>
        <w:tc>
          <w:tcPr>
            <w:tcW w:w="4320" w:type="dxa"/>
            <w:vAlign w:val="center"/>
          </w:tcPr>
          <w:p w14:paraId="7107113D" w14:textId="77777777" w:rsidR="00DA2522" w:rsidRDefault="00000000">
            <w:r>
              <w:rPr>
                <w:sz w:val="16"/>
              </w:rPr>
              <w:t>Creates retention requirements that can conflict with default deletion/TTL assumptions; classification of memory as a record matters.</w:t>
            </w:r>
          </w:p>
        </w:tc>
      </w:tr>
      <w:tr w:rsidR="00DA2522" w14:paraId="13DFCC54" w14:textId="77777777">
        <w:trPr>
          <w:jc w:val="center"/>
        </w:trPr>
        <w:tc>
          <w:tcPr>
            <w:tcW w:w="2088" w:type="dxa"/>
            <w:shd w:val="clear" w:color="auto" w:fill="F3F6F9"/>
            <w:vAlign w:val="center"/>
          </w:tcPr>
          <w:p w14:paraId="610FE919" w14:textId="77777777" w:rsidR="00DA2522" w:rsidRDefault="00000000">
            <w:r>
              <w:rPr>
                <w:sz w:val="16"/>
              </w:rPr>
              <w:t>Treasury FS AI RMF (2026)</w:t>
            </w:r>
          </w:p>
        </w:tc>
        <w:tc>
          <w:tcPr>
            <w:tcW w:w="3960" w:type="dxa"/>
            <w:shd w:val="clear" w:color="auto" w:fill="F3F6F9"/>
            <w:vAlign w:val="center"/>
          </w:tcPr>
          <w:p w14:paraId="3A6E572C" w14:textId="77777777" w:rsidR="00DA2522" w:rsidRDefault="00000000">
            <w:r>
              <w:rPr>
                <w:sz w:val="16"/>
              </w:rPr>
              <w:t>Voluntary financial-sector AI risk-management framework.</w:t>
            </w:r>
          </w:p>
        </w:tc>
        <w:tc>
          <w:tcPr>
            <w:tcW w:w="4320" w:type="dxa"/>
            <w:shd w:val="clear" w:color="auto" w:fill="F3F6F9"/>
            <w:vAlign w:val="center"/>
          </w:tcPr>
          <w:p w14:paraId="36130CD3" w14:textId="77777777" w:rsidR="00DA2522" w:rsidRDefault="00000000">
            <w:r>
              <w:rPr>
                <w:sz w:val="16"/>
              </w:rPr>
              <w:t>Very high implementation value: financial-sector adaptation of Govern/Map/Measure/Manage.</w:t>
            </w:r>
          </w:p>
        </w:tc>
      </w:tr>
      <w:tr w:rsidR="00DA2522" w14:paraId="34D3C858" w14:textId="77777777">
        <w:trPr>
          <w:jc w:val="center"/>
        </w:trPr>
        <w:tc>
          <w:tcPr>
            <w:tcW w:w="2088" w:type="dxa"/>
            <w:vAlign w:val="center"/>
          </w:tcPr>
          <w:p w14:paraId="0BAE658C" w14:textId="77777777" w:rsidR="00DA2522" w:rsidRDefault="00000000">
            <w:r>
              <w:rPr>
                <w:sz w:val="16"/>
              </w:rPr>
              <w:t>SR 26-2</w:t>
            </w:r>
          </w:p>
        </w:tc>
        <w:tc>
          <w:tcPr>
            <w:tcW w:w="3960" w:type="dxa"/>
            <w:vAlign w:val="center"/>
          </w:tcPr>
          <w:p w14:paraId="3C7A53B9" w14:textId="77777777" w:rsidR="00DA2522" w:rsidRDefault="00000000">
            <w:r>
              <w:rPr>
                <w:sz w:val="16"/>
              </w:rPr>
              <w:t>Banking supervisory guidance; generative and agentic AI expressly outside scope.</w:t>
            </w:r>
          </w:p>
        </w:tc>
        <w:tc>
          <w:tcPr>
            <w:tcW w:w="4320" w:type="dxa"/>
            <w:vAlign w:val="center"/>
          </w:tcPr>
          <w:p w14:paraId="3BEAABF6" w14:textId="77777777" w:rsidR="00DA2522" w:rsidRDefault="00000000">
            <w:r>
              <w:rPr>
                <w:sz w:val="16"/>
              </w:rPr>
              <w:t>Useful governance analogue, not an agent-memory rulebook.</w:t>
            </w:r>
          </w:p>
        </w:tc>
      </w:tr>
      <w:tr w:rsidR="00DA2522" w14:paraId="0B59DFB5" w14:textId="77777777">
        <w:trPr>
          <w:jc w:val="center"/>
        </w:trPr>
        <w:tc>
          <w:tcPr>
            <w:tcW w:w="2088" w:type="dxa"/>
            <w:shd w:val="clear" w:color="auto" w:fill="F3F6F9"/>
            <w:vAlign w:val="center"/>
          </w:tcPr>
          <w:p w14:paraId="3BB9B8DA" w14:textId="77777777" w:rsidR="00DA2522" w:rsidRDefault="00000000">
            <w:r>
              <w:rPr>
                <w:sz w:val="16"/>
              </w:rPr>
              <w:t>2023 Interagency Third-Party Guidance</w:t>
            </w:r>
          </w:p>
        </w:tc>
        <w:tc>
          <w:tcPr>
            <w:tcW w:w="3960" w:type="dxa"/>
            <w:shd w:val="clear" w:color="auto" w:fill="F3F6F9"/>
            <w:vAlign w:val="center"/>
          </w:tcPr>
          <w:p w14:paraId="5EF557B6" w14:textId="77777777" w:rsidR="00DA2522" w:rsidRDefault="00000000">
            <w:r>
              <w:rPr>
                <w:sz w:val="16"/>
              </w:rPr>
              <w:t>Banking supervisory guidance.</w:t>
            </w:r>
          </w:p>
        </w:tc>
        <w:tc>
          <w:tcPr>
            <w:tcW w:w="4320" w:type="dxa"/>
            <w:shd w:val="clear" w:color="auto" w:fill="F3F6F9"/>
            <w:vAlign w:val="center"/>
          </w:tcPr>
          <w:p w14:paraId="0532DD21" w14:textId="77777777" w:rsidR="00DA2522" w:rsidRDefault="00000000">
            <w:r>
              <w:rPr>
                <w:sz w:val="16"/>
              </w:rPr>
              <w:t>Useful lifecycle analogue: planning, diligence, contracts, monitoring, termination.</w:t>
            </w:r>
          </w:p>
        </w:tc>
      </w:tr>
      <w:tr w:rsidR="00DA2522" w14:paraId="2C4C2329" w14:textId="77777777">
        <w:trPr>
          <w:jc w:val="center"/>
        </w:trPr>
        <w:tc>
          <w:tcPr>
            <w:tcW w:w="2088" w:type="dxa"/>
            <w:vAlign w:val="center"/>
          </w:tcPr>
          <w:p w14:paraId="11E7D662" w14:textId="77777777" w:rsidR="00DA2522" w:rsidRDefault="00000000">
            <w:r>
              <w:rPr>
                <w:sz w:val="16"/>
              </w:rPr>
              <w:t>FSB AI reports (2024/2025)</w:t>
            </w:r>
          </w:p>
        </w:tc>
        <w:tc>
          <w:tcPr>
            <w:tcW w:w="3960" w:type="dxa"/>
            <w:vAlign w:val="center"/>
          </w:tcPr>
          <w:p w14:paraId="061826DA" w14:textId="77777777" w:rsidR="00DA2522" w:rsidRDefault="00000000">
            <w:r>
              <w:rPr>
                <w:sz w:val="16"/>
              </w:rPr>
              <w:t>International policy/financial-stability analysis, not binding firm-level law.</w:t>
            </w:r>
          </w:p>
        </w:tc>
        <w:tc>
          <w:tcPr>
            <w:tcW w:w="4320" w:type="dxa"/>
            <w:vAlign w:val="center"/>
          </w:tcPr>
          <w:p w14:paraId="679723FA" w14:textId="77777777" w:rsidR="00DA2522" w:rsidRDefault="00000000">
            <w:r>
              <w:rPr>
                <w:sz w:val="16"/>
              </w:rPr>
              <w:t>Strategic: third-party concentration, cyber risk, model/data/governance risk, monitoring, criticality and substitutability.</w:t>
            </w:r>
          </w:p>
        </w:tc>
      </w:tr>
      <w:tr w:rsidR="00DA2522" w14:paraId="03B04F19" w14:textId="77777777">
        <w:trPr>
          <w:jc w:val="center"/>
        </w:trPr>
        <w:tc>
          <w:tcPr>
            <w:tcW w:w="2088" w:type="dxa"/>
            <w:shd w:val="clear" w:color="auto" w:fill="F3F6F9"/>
            <w:vAlign w:val="center"/>
          </w:tcPr>
          <w:p w14:paraId="7FEDA09A" w14:textId="77777777" w:rsidR="00DA2522" w:rsidRDefault="00000000">
            <w:r>
              <w:rPr>
                <w:sz w:val="16"/>
              </w:rPr>
              <w:t>NIST AI RMF / GenAI Profile</w:t>
            </w:r>
          </w:p>
        </w:tc>
        <w:tc>
          <w:tcPr>
            <w:tcW w:w="3960" w:type="dxa"/>
            <w:shd w:val="clear" w:color="auto" w:fill="F3F6F9"/>
            <w:vAlign w:val="center"/>
          </w:tcPr>
          <w:p w14:paraId="5A372370" w14:textId="77777777" w:rsidR="00DA2522" w:rsidRDefault="00000000">
            <w:r>
              <w:rPr>
                <w:sz w:val="16"/>
              </w:rPr>
              <w:t>Voluntary cross-sector frameworks.</w:t>
            </w:r>
          </w:p>
        </w:tc>
        <w:tc>
          <w:tcPr>
            <w:tcW w:w="4320" w:type="dxa"/>
            <w:shd w:val="clear" w:color="auto" w:fill="F3F6F9"/>
            <w:vAlign w:val="center"/>
          </w:tcPr>
          <w:p w14:paraId="10576452" w14:textId="77777777" w:rsidR="00DA2522" w:rsidRDefault="00000000">
            <w:r>
              <w:rPr>
                <w:sz w:val="16"/>
              </w:rPr>
              <w:t>Implementation: continuous Govern/Map/Measure/Manage; GenAI risks, supply-chain and component integration.</w:t>
            </w:r>
          </w:p>
        </w:tc>
      </w:tr>
      <w:tr w:rsidR="00DA2522" w14:paraId="7E409D82" w14:textId="77777777">
        <w:trPr>
          <w:jc w:val="center"/>
        </w:trPr>
        <w:tc>
          <w:tcPr>
            <w:tcW w:w="2088" w:type="dxa"/>
            <w:vAlign w:val="center"/>
          </w:tcPr>
          <w:p w14:paraId="1DD71321" w14:textId="77777777" w:rsidR="00DA2522" w:rsidRDefault="00000000">
            <w:r>
              <w:rPr>
                <w:sz w:val="16"/>
              </w:rPr>
              <w:t>ISO/IEC 42001:2023</w:t>
            </w:r>
          </w:p>
        </w:tc>
        <w:tc>
          <w:tcPr>
            <w:tcW w:w="3960" w:type="dxa"/>
            <w:vAlign w:val="center"/>
          </w:tcPr>
          <w:p w14:paraId="5F05906F" w14:textId="77777777" w:rsidR="00DA2522" w:rsidRDefault="00000000">
            <w:r>
              <w:rPr>
                <w:sz w:val="16"/>
              </w:rPr>
              <w:t>Voluntary certifiable AI management-system standard.</w:t>
            </w:r>
          </w:p>
        </w:tc>
        <w:tc>
          <w:tcPr>
            <w:tcW w:w="4320" w:type="dxa"/>
            <w:vAlign w:val="center"/>
          </w:tcPr>
          <w:p w14:paraId="7382DC0C" w14:textId="77777777" w:rsidR="00DA2522" w:rsidRDefault="00000000">
            <w:r>
              <w:rPr>
                <w:sz w:val="16"/>
              </w:rPr>
              <w:t>Management-system evidence layer: policies, accountability, risk management, continual improvement, traceability.</w:t>
            </w:r>
          </w:p>
        </w:tc>
      </w:tr>
    </w:tbl>
    <w:p w14:paraId="0FE78CAD" w14:textId="77777777" w:rsidR="00DA2522" w:rsidRDefault="00DA2522">
      <w:pPr>
        <w:spacing w:after="0"/>
      </w:pPr>
    </w:p>
    <w:p w14:paraId="410C737B" w14:textId="77777777" w:rsidR="00DA2522" w:rsidRDefault="00000000">
      <w:pPr>
        <w:pStyle w:val="Heading1"/>
      </w:pPr>
      <w:r>
        <w:t>3. GDPR: Direct Implications for Persistent Memory</w:t>
      </w:r>
    </w:p>
    <w:p w14:paraId="15B71D16" w14:textId="77777777" w:rsidR="00DA2522" w:rsidRDefault="00000000">
      <w:pPr>
        <w:spacing w:after="100" w:line="252" w:lineRule="auto"/>
      </w:pPr>
      <w:r>
        <w:t>GDPR is the clearest source of direct requirements for memory that contains or derives personal data. Article 5 requires lawfulness/fairness/transparency, purpose limitation, data minimisation, accuracy, storage limitation, integrity/confidentiality, and accountability. These principles map directly onto the memory lifecycle. [R1]</w:t>
      </w:r>
    </w:p>
    <w:p w14:paraId="4A0DF97F" w14:textId="77777777" w:rsidR="00C4590B" w:rsidRDefault="00C4590B">
      <w:pPr>
        <w:spacing w:after="100" w:line="252" w:lineRule="auto"/>
      </w:pPr>
    </w:p>
    <w:p w14:paraId="70C3666B" w14:textId="6F760D9B" w:rsidR="00C4590B" w:rsidRDefault="00C4590B">
      <w:pPr>
        <w:spacing w:after="100" w:line="252" w:lineRule="auto"/>
      </w:pPr>
      <w:r>
        <w:t xml:space="preserve">How to quantify necessary or say minimization? Risk tiering, low risk </w:t>
      </w:r>
    </w:p>
    <w:tbl>
      <w:tblPr>
        <w:tblStyle w:val="TableGrid"/>
        <w:tblW w:w="0" w:type="auto"/>
        <w:jc w:val="center"/>
        <w:tblLook w:val="04A0" w:firstRow="1" w:lastRow="0" w:firstColumn="1" w:lastColumn="0" w:noHBand="0" w:noVBand="1"/>
      </w:tblPr>
      <w:tblGrid>
        <w:gridCol w:w="2263"/>
        <w:gridCol w:w="3941"/>
        <w:gridCol w:w="3948"/>
      </w:tblGrid>
      <w:tr w:rsidR="00DA2522" w14:paraId="757F2AE2" w14:textId="77777777">
        <w:trPr>
          <w:jc w:val="center"/>
        </w:trPr>
        <w:tc>
          <w:tcPr>
            <w:tcW w:w="2304" w:type="dxa"/>
            <w:shd w:val="clear" w:color="auto" w:fill="173A5E"/>
            <w:vAlign w:val="center"/>
          </w:tcPr>
          <w:p w14:paraId="2CE3A1F2" w14:textId="77777777" w:rsidR="00DA2522" w:rsidRDefault="00000000">
            <w:r>
              <w:rPr>
                <w:b/>
                <w:color w:val="FFFFFF"/>
                <w:sz w:val="15"/>
              </w:rPr>
              <w:t>GDPR concept</w:t>
            </w:r>
          </w:p>
        </w:tc>
        <w:tc>
          <w:tcPr>
            <w:tcW w:w="4032" w:type="dxa"/>
            <w:shd w:val="clear" w:color="auto" w:fill="173A5E"/>
            <w:vAlign w:val="center"/>
          </w:tcPr>
          <w:p w14:paraId="33C8894C" w14:textId="77777777" w:rsidR="00DA2522" w:rsidRDefault="00000000">
            <w:r>
              <w:rPr>
                <w:b/>
                <w:color w:val="FFFFFF"/>
                <w:sz w:val="15"/>
              </w:rPr>
              <w:t>Agent-memory interpretation</w:t>
            </w:r>
          </w:p>
        </w:tc>
        <w:tc>
          <w:tcPr>
            <w:tcW w:w="4032" w:type="dxa"/>
            <w:shd w:val="clear" w:color="auto" w:fill="173A5E"/>
            <w:vAlign w:val="center"/>
          </w:tcPr>
          <w:p w14:paraId="2F47EDEB" w14:textId="77777777" w:rsidR="00DA2522" w:rsidRDefault="00000000">
            <w:r>
              <w:rPr>
                <w:b/>
                <w:color w:val="FFFFFF"/>
                <w:sz w:val="15"/>
              </w:rPr>
              <w:t>Required control direction</w:t>
            </w:r>
          </w:p>
        </w:tc>
      </w:tr>
      <w:tr w:rsidR="00DA2522" w14:paraId="52CF7AFF" w14:textId="77777777">
        <w:trPr>
          <w:jc w:val="center"/>
        </w:trPr>
        <w:tc>
          <w:tcPr>
            <w:tcW w:w="2304" w:type="dxa"/>
            <w:vAlign w:val="center"/>
          </w:tcPr>
          <w:p w14:paraId="2A9D0A20" w14:textId="77777777" w:rsidR="00DA2522" w:rsidRDefault="00000000">
            <w:r>
              <w:rPr>
                <w:sz w:val="15"/>
              </w:rPr>
              <w:t>Purpose limitation / lawful basis (Arts. 5, 6; Art. 9 for special categories)</w:t>
            </w:r>
          </w:p>
        </w:tc>
        <w:tc>
          <w:tcPr>
            <w:tcW w:w="4032" w:type="dxa"/>
            <w:vAlign w:val="center"/>
          </w:tcPr>
          <w:p w14:paraId="659A485C" w14:textId="77777777" w:rsidR="00DA2522" w:rsidRDefault="00000000">
            <w:r>
              <w:rPr>
                <w:sz w:val="15"/>
              </w:rPr>
              <w:t>“Potentially useful later” is not a sufficient persistence rationale.</w:t>
            </w:r>
          </w:p>
        </w:tc>
        <w:tc>
          <w:tcPr>
            <w:tcW w:w="4032" w:type="dxa"/>
            <w:vAlign w:val="center"/>
          </w:tcPr>
          <w:p w14:paraId="6AD6F059" w14:textId="77777777" w:rsidR="00DA2522" w:rsidRDefault="00000000">
            <w:r>
              <w:rPr>
                <w:sz w:val="15"/>
              </w:rPr>
              <w:t>Bind memory namespaces/objects to approved purposes and applicable legal basis; deny incompatible downstream use.</w:t>
            </w:r>
          </w:p>
        </w:tc>
      </w:tr>
      <w:tr w:rsidR="00DA2522" w14:paraId="2F0D04ED" w14:textId="77777777">
        <w:trPr>
          <w:jc w:val="center"/>
        </w:trPr>
        <w:tc>
          <w:tcPr>
            <w:tcW w:w="2304" w:type="dxa"/>
            <w:shd w:val="clear" w:color="auto" w:fill="F3F6F9"/>
            <w:vAlign w:val="center"/>
          </w:tcPr>
          <w:p w14:paraId="7CAE5B6E" w14:textId="77777777" w:rsidR="00DA2522" w:rsidRDefault="00000000">
            <w:r>
              <w:rPr>
                <w:sz w:val="15"/>
              </w:rPr>
              <w:t>Data minimisation (Art. 5)</w:t>
            </w:r>
          </w:p>
        </w:tc>
        <w:tc>
          <w:tcPr>
            <w:tcW w:w="4032" w:type="dxa"/>
            <w:shd w:val="clear" w:color="auto" w:fill="F3F6F9"/>
            <w:vAlign w:val="center"/>
          </w:tcPr>
          <w:p w14:paraId="47F68026" w14:textId="77777777" w:rsidR="00DA2522" w:rsidRDefault="00000000">
            <w:r>
              <w:rPr>
                <w:sz w:val="15"/>
              </w:rPr>
              <w:t>Agents should not persist every observation or full transcript by default.</w:t>
            </w:r>
          </w:p>
        </w:tc>
        <w:tc>
          <w:tcPr>
            <w:tcW w:w="4032" w:type="dxa"/>
            <w:shd w:val="clear" w:color="auto" w:fill="F3F6F9"/>
            <w:vAlign w:val="center"/>
          </w:tcPr>
          <w:p w14:paraId="569F0EF1" w14:textId="77777777" w:rsidR="00DA2522" w:rsidRDefault="00000000">
            <w:r>
              <w:rPr>
                <w:sz w:val="15"/>
              </w:rPr>
              <w:t>Selective-write policy; field-level minimisation; avoid storing raw content when a less identifying representation suffices.</w:t>
            </w:r>
          </w:p>
        </w:tc>
      </w:tr>
      <w:tr w:rsidR="00DA2522" w14:paraId="1BE068A5" w14:textId="77777777">
        <w:trPr>
          <w:jc w:val="center"/>
        </w:trPr>
        <w:tc>
          <w:tcPr>
            <w:tcW w:w="2304" w:type="dxa"/>
            <w:vAlign w:val="center"/>
          </w:tcPr>
          <w:p w14:paraId="2182B59E" w14:textId="77777777" w:rsidR="00DA2522" w:rsidRDefault="00000000">
            <w:r>
              <w:rPr>
                <w:sz w:val="15"/>
              </w:rPr>
              <w:t>Accuracy / rectification (Arts. 5, 16)</w:t>
            </w:r>
          </w:p>
        </w:tc>
        <w:tc>
          <w:tcPr>
            <w:tcW w:w="4032" w:type="dxa"/>
            <w:vAlign w:val="center"/>
          </w:tcPr>
          <w:p w14:paraId="2E7E26BF" w14:textId="77777777" w:rsidR="00DA2522" w:rsidRDefault="00000000">
            <w:r>
              <w:rPr>
                <w:sz w:val="15"/>
              </w:rPr>
              <w:t>Incorrect or stale memories must be correctable; derived artifacts can preserve the error.</w:t>
            </w:r>
          </w:p>
        </w:tc>
        <w:tc>
          <w:tcPr>
            <w:tcW w:w="4032" w:type="dxa"/>
            <w:vAlign w:val="center"/>
          </w:tcPr>
          <w:p w14:paraId="38A137A4" w14:textId="77777777" w:rsidR="00DA2522" w:rsidRDefault="00000000">
            <w:r>
              <w:rPr>
                <w:sz w:val="15"/>
              </w:rPr>
              <w:t>Temporal versioning, source authority, contradiction handling, cascading rectification and re-indexing.</w:t>
            </w:r>
          </w:p>
        </w:tc>
      </w:tr>
      <w:tr w:rsidR="00DA2522" w14:paraId="0B4F212A" w14:textId="77777777">
        <w:trPr>
          <w:jc w:val="center"/>
        </w:trPr>
        <w:tc>
          <w:tcPr>
            <w:tcW w:w="2304" w:type="dxa"/>
            <w:shd w:val="clear" w:color="auto" w:fill="F3F6F9"/>
            <w:vAlign w:val="center"/>
          </w:tcPr>
          <w:p w14:paraId="0B1B4229" w14:textId="77777777" w:rsidR="00DA2522" w:rsidRDefault="00000000">
            <w:r>
              <w:rPr>
                <w:sz w:val="15"/>
              </w:rPr>
              <w:t>Storage limitation (Art. 5)</w:t>
            </w:r>
          </w:p>
        </w:tc>
        <w:tc>
          <w:tcPr>
            <w:tcW w:w="4032" w:type="dxa"/>
            <w:shd w:val="clear" w:color="auto" w:fill="F3F6F9"/>
            <w:vAlign w:val="center"/>
          </w:tcPr>
          <w:p w14:paraId="2FC5C58F" w14:textId="77777777" w:rsidR="00DA2522" w:rsidRDefault="00000000">
            <w:r>
              <w:rPr>
                <w:sz w:val="15"/>
              </w:rPr>
              <w:t>Persistent memory cannot be “append forever” by default.</w:t>
            </w:r>
          </w:p>
        </w:tc>
        <w:tc>
          <w:tcPr>
            <w:tcW w:w="4032" w:type="dxa"/>
            <w:shd w:val="clear" w:color="auto" w:fill="F3F6F9"/>
            <w:vAlign w:val="center"/>
          </w:tcPr>
          <w:p w14:paraId="5138CE4C" w14:textId="77777777" w:rsidR="00DA2522" w:rsidRDefault="00000000">
            <w:r>
              <w:rPr>
                <w:sz w:val="15"/>
              </w:rPr>
              <w:t>Retention class, TTL/review date, policy-driven archival, expiration, and legal-hold handling.</w:t>
            </w:r>
          </w:p>
        </w:tc>
      </w:tr>
      <w:tr w:rsidR="00DA2522" w14:paraId="5990691C" w14:textId="77777777">
        <w:trPr>
          <w:jc w:val="center"/>
        </w:trPr>
        <w:tc>
          <w:tcPr>
            <w:tcW w:w="2304" w:type="dxa"/>
            <w:vAlign w:val="center"/>
          </w:tcPr>
          <w:p w14:paraId="75B7FCC8" w14:textId="77777777" w:rsidR="00DA2522" w:rsidRDefault="00000000">
            <w:r>
              <w:rPr>
                <w:sz w:val="15"/>
              </w:rPr>
              <w:t>Restriction (Art. 18)</w:t>
            </w:r>
          </w:p>
        </w:tc>
        <w:tc>
          <w:tcPr>
            <w:tcW w:w="4032" w:type="dxa"/>
            <w:vAlign w:val="center"/>
          </w:tcPr>
          <w:p w14:paraId="2E696B29" w14:textId="77777777" w:rsidR="00DA2522" w:rsidRDefault="00000000">
            <w:r>
              <w:rPr>
                <w:sz w:val="15"/>
              </w:rPr>
              <w:t>Sometimes data must be retained but not actively used.</w:t>
            </w:r>
          </w:p>
        </w:tc>
        <w:tc>
          <w:tcPr>
            <w:tcW w:w="4032" w:type="dxa"/>
            <w:vAlign w:val="center"/>
          </w:tcPr>
          <w:p w14:paraId="1D40C9F4" w14:textId="77777777" w:rsidR="00DA2522" w:rsidRDefault="00000000">
            <w:r>
              <w:rPr>
                <w:sz w:val="15"/>
              </w:rPr>
              <w:t>Lifecycle state RESTRICTED; retrieval engine must exclude restricted items while retaining where legally necessary.</w:t>
            </w:r>
          </w:p>
        </w:tc>
      </w:tr>
      <w:tr w:rsidR="00DA2522" w14:paraId="5D924CC0" w14:textId="77777777">
        <w:trPr>
          <w:jc w:val="center"/>
        </w:trPr>
        <w:tc>
          <w:tcPr>
            <w:tcW w:w="2304" w:type="dxa"/>
            <w:shd w:val="clear" w:color="auto" w:fill="F3F6F9"/>
            <w:vAlign w:val="center"/>
          </w:tcPr>
          <w:p w14:paraId="141D3E5A" w14:textId="77777777" w:rsidR="00DA2522" w:rsidRDefault="00000000">
            <w:r>
              <w:rPr>
                <w:sz w:val="15"/>
              </w:rPr>
              <w:t>Erasure (Art. 17)</w:t>
            </w:r>
          </w:p>
        </w:tc>
        <w:tc>
          <w:tcPr>
            <w:tcW w:w="4032" w:type="dxa"/>
            <w:shd w:val="clear" w:color="auto" w:fill="F3F6F9"/>
            <w:vAlign w:val="center"/>
          </w:tcPr>
          <w:p w14:paraId="40EDBABE" w14:textId="77777777" w:rsidR="00DA2522" w:rsidRDefault="00000000">
            <w:r>
              <w:rPr>
                <w:sz w:val="15"/>
              </w:rPr>
              <w:t>Deletion must reach raw episodes, summaries, graph objects, embeddings, indexes, caches and relevant replicas.</w:t>
            </w:r>
          </w:p>
        </w:tc>
        <w:tc>
          <w:tcPr>
            <w:tcW w:w="4032" w:type="dxa"/>
            <w:shd w:val="clear" w:color="auto" w:fill="F3F6F9"/>
            <w:vAlign w:val="center"/>
          </w:tcPr>
          <w:p w14:paraId="7B21DFC4" w14:textId="77777777" w:rsidR="00DA2522" w:rsidRDefault="00000000">
            <w:r>
              <w:rPr>
                <w:sz w:val="15"/>
              </w:rPr>
              <w:t>Dependency traversal, hard-delete semantics, cache/index invalidation, backup controls, deletion verification/receipt.</w:t>
            </w:r>
          </w:p>
        </w:tc>
      </w:tr>
      <w:tr w:rsidR="00DA2522" w14:paraId="2FDB5BF7" w14:textId="77777777">
        <w:trPr>
          <w:jc w:val="center"/>
        </w:trPr>
        <w:tc>
          <w:tcPr>
            <w:tcW w:w="2304" w:type="dxa"/>
            <w:vAlign w:val="center"/>
          </w:tcPr>
          <w:p w14:paraId="509746D4" w14:textId="77777777" w:rsidR="00DA2522" w:rsidRDefault="00000000">
            <w:r>
              <w:rPr>
                <w:sz w:val="15"/>
              </w:rPr>
              <w:t>Notification of correction/erasure (Art. 19)</w:t>
            </w:r>
          </w:p>
        </w:tc>
        <w:tc>
          <w:tcPr>
            <w:tcW w:w="4032" w:type="dxa"/>
            <w:vAlign w:val="center"/>
          </w:tcPr>
          <w:p w14:paraId="56850E21" w14:textId="77777777" w:rsidR="00DA2522" w:rsidRDefault="00000000">
            <w:r>
              <w:rPr>
                <w:sz w:val="15"/>
              </w:rPr>
              <w:t>Downstream recipients may need updates.</w:t>
            </w:r>
          </w:p>
        </w:tc>
        <w:tc>
          <w:tcPr>
            <w:tcW w:w="4032" w:type="dxa"/>
            <w:vAlign w:val="center"/>
          </w:tcPr>
          <w:p w14:paraId="497BDD08" w14:textId="77777777" w:rsidR="00DA2522" w:rsidRDefault="00000000">
            <w:r>
              <w:rPr>
                <w:sz w:val="15"/>
              </w:rPr>
              <w:t>Track recipients/derived stores and propagate rectification/restriction/erasure where required.</w:t>
            </w:r>
          </w:p>
        </w:tc>
      </w:tr>
      <w:tr w:rsidR="00DA2522" w14:paraId="176AFC43" w14:textId="77777777">
        <w:trPr>
          <w:jc w:val="center"/>
        </w:trPr>
        <w:tc>
          <w:tcPr>
            <w:tcW w:w="2304" w:type="dxa"/>
            <w:shd w:val="clear" w:color="auto" w:fill="F3F6F9"/>
            <w:vAlign w:val="center"/>
          </w:tcPr>
          <w:p w14:paraId="0D63E754" w14:textId="77777777" w:rsidR="00DA2522" w:rsidRDefault="00000000">
            <w:r>
              <w:rPr>
                <w:sz w:val="15"/>
              </w:rPr>
              <w:t>Portability / access (Arts. 15, 20)</w:t>
            </w:r>
          </w:p>
        </w:tc>
        <w:tc>
          <w:tcPr>
            <w:tcW w:w="4032" w:type="dxa"/>
            <w:shd w:val="clear" w:color="auto" w:fill="F3F6F9"/>
            <w:vAlign w:val="center"/>
          </w:tcPr>
          <w:p w14:paraId="4CAE37C3" w14:textId="77777777" w:rsidR="00DA2522" w:rsidRDefault="00000000">
            <w:r>
              <w:rPr>
                <w:sz w:val="15"/>
              </w:rPr>
              <w:t>A subject’s memory may exist across multiple representations.</w:t>
            </w:r>
          </w:p>
        </w:tc>
        <w:tc>
          <w:tcPr>
            <w:tcW w:w="4032" w:type="dxa"/>
            <w:shd w:val="clear" w:color="auto" w:fill="F3F6F9"/>
            <w:vAlign w:val="center"/>
          </w:tcPr>
          <w:p w14:paraId="529E2129" w14:textId="77777777" w:rsidR="00DA2522" w:rsidRDefault="00000000">
            <w:r>
              <w:rPr>
                <w:sz w:val="15"/>
              </w:rPr>
              <w:t>Unified discovery/export layer and representation-aware explanation.</w:t>
            </w:r>
          </w:p>
        </w:tc>
      </w:tr>
      <w:tr w:rsidR="00DA2522" w14:paraId="6DDA5AC3" w14:textId="77777777">
        <w:trPr>
          <w:jc w:val="center"/>
        </w:trPr>
        <w:tc>
          <w:tcPr>
            <w:tcW w:w="2304" w:type="dxa"/>
            <w:vAlign w:val="center"/>
          </w:tcPr>
          <w:p w14:paraId="7E5C4C0F" w14:textId="77777777" w:rsidR="00DA2522" w:rsidRDefault="00000000">
            <w:r>
              <w:rPr>
                <w:sz w:val="15"/>
              </w:rPr>
              <w:t>Objection / profiling / automated decisions (Arts. 21–22)</w:t>
            </w:r>
          </w:p>
        </w:tc>
        <w:tc>
          <w:tcPr>
            <w:tcW w:w="4032" w:type="dxa"/>
            <w:vAlign w:val="center"/>
          </w:tcPr>
          <w:p w14:paraId="35DEE4B8" w14:textId="77777777" w:rsidR="00DA2522" w:rsidRDefault="00000000">
            <w:r>
              <w:rPr>
                <w:sz w:val="15"/>
              </w:rPr>
              <w:t>Memory may support profiling or significant automated decisions.</w:t>
            </w:r>
          </w:p>
        </w:tc>
        <w:tc>
          <w:tcPr>
            <w:tcW w:w="4032" w:type="dxa"/>
            <w:vAlign w:val="center"/>
          </w:tcPr>
          <w:p w14:paraId="42F937B1" w14:textId="77777777" w:rsidR="00DA2522" w:rsidRDefault="00000000">
            <w:r>
              <w:rPr>
                <w:sz w:val="15"/>
              </w:rPr>
              <w:t>Purpose-specific objection handling; decision-significance controls; human oversight where legally applicable.</w:t>
            </w:r>
          </w:p>
        </w:tc>
      </w:tr>
      <w:tr w:rsidR="00DA2522" w14:paraId="4DE94801" w14:textId="77777777">
        <w:trPr>
          <w:jc w:val="center"/>
        </w:trPr>
        <w:tc>
          <w:tcPr>
            <w:tcW w:w="2304" w:type="dxa"/>
            <w:shd w:val="clear" w:color="auto" w:fill="F3F6F9"/>
            <w:vAlign w:val="center"/>
          </w:tcPr>
          <w:p w14:paraId="6CD8E665" w14:textId="77777777" w:rsidR="00DA2522" w:rsidRDefault="00000000">
            <w:r>
              <w:rPr>
                <w:sz w:val="15"/>
              </w:rPr>
              <w:t>Privacy by design/default (Art. 25)</w:t>
            </w:r>
          </w:p>
        </w:tc>
        <w:tc>
          <w:tcPr>
            <w:tcW w:w="4032" w:type="dxa"/>
            <w:shd w:val="clear" w:color="auto" w:fill="F3F6F9"/>
            <w:vAlign w:val="center"/>
          </w:tcPr>
          <w:p w14:paraId="580B9EC3" w14:textId="77777777" w:rsidR="00DA2522" w:rsidRDefault="00000000">
            <w:r>
              <w:rPr>
                <w:sz w:val="15"/>
              </w:rPr>
              <w:t>Governance should be embedded in the library/platform, not delegated to each agent developer.</w:t>
            </w:r>
          </w:p>
        </w:tc>
        <w:tc>
          <w:tcPr>
            <w:tcW w:w="4032" w:type="dxa"/>
            <w:shd w:val="clear" w:color="auto" w:fill="F3F6F9"/>
            <w:vAlign w:val="center"/>
          </w:tcPr>
          <w:p w14:paraId="50D6723C" w14:textId="77777777" w:rsidR="00DA2522" w:rsidRDefault="00000000">
            <w:r>
              <w:rPr>
                <w:sz w:val="15"/>
              </w:rPr>
              <w:t>Safe defaults, pseudonymisation where appropriate, policy inheritance, deny-by-default sensitive inference.</w:t>
            </w:r>
          </w:p>
        </w:tc>
      </w:tr>
      <w:tr w:rsidR="00DA2522" w14:paraId="1672FC37" w14:textId="77777777">
        <w:trPr>
          <w:jc w:val="center"/>
        </w:trPr>
        <w:tc>
          <w:tcPr>
            <w:tcW w:w="2304" w:type="dxa"/>
            <w:vAlign w:val="center"/>
          </w:tcPr>
          <w:p w14:paraId="097C30E6" w14:textId="77777777" w:rsidR="00DA2522" w:rsidRDefault="00000000">
            <w:r>
              <w:rPr>
                <w:sz w:val="15"/>
              </w:rPr>
              <w:t>Security (Art. 32)</w:t>
            </w:r>
          </w:p>
        </w:tc>
        <w:tc>
          <w:tcPr>
            <w:tcW w:w="4032" w:type="dxa"/>
            <w:vAlign w:val="center"/>
          </w:tcPr>
          <w:p w14:paraId="7C6C958F" w14:textId="77777777" w:rsidR="00DA2522" w:rsidRDefault="00000000">
            <w:r>
              <w:rPr>
                <w:sz w:val="15"/>
              </w:rPr>
              <w:t>Memory is a durable repository of potentially sensitive data.</w:t>
            </w:r>
          </w:p>
        </w:tc>
        <w:tc>
          <w:tcPr>
            <w:tcW w:w="4032" w:type="dxa"/>
            <w:vAlign w:val="center"/>
          </w:tcPr>
          <w:p w14:paraId="6CB27D04" w14:textId="77777777" w:rsidR="00DA2522" w:rsidRDefault="00000000">
            <w:r>
              <w:rPr>
                <w:sz w:val="15"/>
              </w:rPr>
              <w:t>Encryption, least privilege, isolation, resilience, testing, incident response.</w:t>
            </w:r>
          </w:p>
        </w:tc>
      </w:tr>
      <w:tr w:rsidR="00DA2522" w14:paraId="6C8F0852" w14:textId="77777777">
        <w:trPr>
          <w:jc w:val="center"/>
        </w:trPr>
        <w:tc>
          <w:tcPr>
            <w:tcW w:w="2304" w:type="dxa"/>
            <w:shd w:val="clear" w:color="auto" w:fill="F3F6F9"/>
            <w:vAlign w:val="center"/>
          </w:tcPr>
          <w:p w14:paraId="544283E6" w14:textId="77777777" w:rsidR="00DA2522" w:rsidRDefault="00000000">
            <w:r>
              <w:rPr>
                <w:sz w:val="15"/>
              </w:rPr>
              <w:t>DPIA (Art. 35)</w:t>
            </w:r>
          </w:p>
        </w:tc>
        <w:tc>
          <w:tcPr>
            <w:tcW w:w="4032" w:type="dxa"/>
            <w:shd w:val="clear" w:color="auto" w:fill="F3F6F9"/>
            <w:vAlign w:val="center"/>
          </w:tcPr>
          <w:p w14:paraId="16CAF80E" w14:textId="77777777" w:rsidR="00DA2522" w:rsidRDefault="00000000">
            <w:r>
              <w:rPr>
                <w:sz w:val="15"/>
              </w:rPr>
              <w:t>New technology with high-risk processing may require DPIA.</w:t>
            </w:r>
          </w:p>
        </w:tc>
        <w:tc>
          <w:tcPr>
            <w:tcW w:w="4032" w:type="dxa"/>
            <w:shd w:val="clear" w:color="auto" w:fill="F3F6F9"/>
            <w:vAlign w:val="center"/>
          </w:tcPr>
          <w:p w14:paraId="039B0157" w14:textId="77777777" w:rsidR="00DA2522" w:rsidRDefault="00000000">
            <w:r>
              <w:rPr>
                <w:sz w:val="15"/>
              </w:rPr>
              <w:t>DPIA/use-case risk assessment before high-risk deployment; reassess when processing risk changes.</w:t>
            </w:r>
          </w:p>
        </w:tc>
      </w:tr>
      <w:tr w:rsidR="00DA2522" w14:paraId="65261447" w14:textId="77777777">
        <w:trPr>
          <w:jc w:val="center"/>
        </w:trPr>
        <w:tc>
          <w:tcPr>
            <w:tcW w:w="2304" w:type="dxa"/>
            <w:vAlign w:val="center"/>
          </w:tcPr>
          <w:p w14:paraId="463F27F3" w14:textId="77777777" w:rsidR="00DA2522" w:rsidRDefault="00000000">
            <w:r>
              <w:rPr>
                <w:sz w:val="15"/>
              </w:rPr>
              <w:lastRenderedPageBreak/>
              <w:t>International transfers (Arts. 44–49)</w:t>
            </w:r>
          </w:p>
        </w:tc>
        <w:tc>
          <w:tcPr>
            <w:tcW w:w="4032" w:type="dxa"/>
            <w:vAlign w:val="center"/>
          </w:tcPr>
          <w:p w14:paraId="7FEC8059" w14:textId="77777777" w:rsidR="00DA2522" w:rsidRDefault="00000000">
            <w:r>
              <w:rPr>
                <w:sz w:val="15"/>
              </w:rPr>
              <w:t>LLM/embedder/DB/telemetry calls may transfer personal data.</w:t>
            </w:r>
          </w:p>
        </w:tc>
        <w:tc>
          <w:tcPr>
            <w:tcW w:w="4032" w:type="dxa"/>
            <w:vAlign w:val="center"/>
          </w:tcPr>
          <w:p w14:paraId="2F04C5D4" w14:textId="77777777" w:rsidR="00DA2522" w:rsidRDefault="00000000">
            <w:r>
              <w:rPr>
                <w:sz w:val="15"/>
              </w:rPr>
              <w:t>Provider/region mapping, approved transfer mechanism, subprocessor visibility, egress enforcement.</w:t>
            </w:r>
          </w:p>
        </w:tc>
      </w:tr>
    </w:tbl>
    <w:p w14:paraId="00E4E5D4" w14:textId="77777777" w:rsidR="00DA2522" w:rsidRDefault="00DA2522">
      <w:pPr>
        <w:spacing w:after="0"/>
      </w:pPr>
    </w:p>
    <w:p w14:paraId="6851970F" w14:textId="77777777" w:rsidR="00DA2522" w:rsidRDefault="00000000">
      <w:pPr>
        <w:spacing w:after="100" w:line="252" w:lineRule="auto"/>
      </w:pPr>
      <w:r>
        <w:t>The EDPB’s Opinion 28/2024 reinforces that AI models/artifacts involving personal data cannot simply be presumed anonymous and addresses lawful basis, anonymisation, and legitimate-interest analysis. For memory governance, the practical lesson is to assume that derived representations can remain personal data unless an appropriate analysis demonstrates otherwise. [R2]</w:t>
      </w:r>
    </w:p>
    <w:p w14:paraId="1D1CF843" w14:textId="77777777" w:rsidR="00DA2522" w:rsidRDefault="00000000">
      <w:pPr>
        <w:pStyle w:val="Heading2"/>
      </w:pPr>
      <w:r>
        <w:t>3.1 Knowledge-graph-specific GDPR issues</w:t>
      </w:r>
    </w:p>
    <w:p w14:paraId="7B6CF129" w14:textId="77777777" w:rsidR="00DA2522" w:rsidRDefault="00000000">
      <w:pPr>
        <w:pStyle w:val="ListBullet"/>
        <w:spacing w:after="50"/>
      </w:pPr>
      <w:r>
        <w:rPr>
          <w:b/>
        </w:rPr>
        <w:t xml:space="preserve">Observed vs. inferred data. </w:t>
      </w:r>
      <w:r>
        <w:t>A graph edge can encode an explicit statement, an LLM extraction, or a probabilistic inference. These categories should be distinct because their accuracy, explainability, sensitivity, and permissible use differ.</w:t>
      </w:r>
    </w:p>
    <w:p w14:paraId="1D6CB565" w14:textId="77777777" w:rsidR="00DA2522" w:rsidRDefault="00000000">
      <w:pPr>
        <w:pStyle w:val="ListBullet"/>
        <w:spacing w:after="50"/>
      </w:pPr>
      <w:r>
        <w:rPr>
          <w:b/>
        </w:rPr>
        <w:t xml:space="preserve">Sensitive inference. </w:t>
      </w:r>
      <w:r>
        <w:t>A system can infer health, political, religious, union, sexual, biometric, financial-vulnerability, or other sensitive attributes from non-sensitive observations. Sensitive-attribute inference should be default-deny or explicitly authorized by use case.</w:t>
      </w:r>
    </w:p>
    <w:p w14:paraId="6E77B523" w14:textId="77777777" w:rsidR="00DA2522" w:rsidRDefault="00000000">
      <w:pPr>
        <w:pStyle w:val="ListBullet"/>
        <w:spacing w:after="50"/>
      </w:pPr>
      <w:r>
        <w:rPr>
          <w:b/>
        </w:rPr>
        <w:t xml:space="preserve">Cascading rectification. </w:t>
      </w:r>
      <w:r>
        <w:t>Correcting a source node is insufficient if summaries, embeddings, derived edges, persona objects, or procedural rules still encode the old fact.</w:t>
      </w:r>
    </w:p>
    <w:p w14:paraId="016CEA91" w14:textId="77777777" w:rsidR="00DA2522" w:rsidRDefault="00000000">
      <w:pPr>
        <w:pStyle w:val="ListBullet"/>
        <w:spacing w:after="50"/>
      </w:pPr>
      <w:r>
        <w:rPr>
          <w:b/>
        </w:rPr>
        <w:t xml:space="preserve">Temporal truth vs. legal retention. </w:t>
      </w:r>
      <w:r>
        <w:t>A fact becoming invalid is not the same as the data becoming unlawful to retain; conversely, preserving historical truth does not override an applicable erasure obligation.</w:t>
      </w:r>
    </w:p>
    <w:p w14:paraId="4A6F70E7" w14:textId="77777777" w:rsidR="00DA2522" w:rsidRDefault="00000000">
      <w:pPr>
        <w:pStyle w:val="ListBullet"/>
        <w:spacing w:after="50"/>
      </w:pPr>
      <w:r>
        <w:rPr>
          <w:b/>
        </w:rPr>
        <w:t xml:space="preserve">Purpose-bound graph traversal. </w:t>
      </w:r>
      <w:r>
        <w:t>A relationship may be legitimate for one use (personalization) but prohibited or inappropriate for another (eligibility, suitability, employment, or client decisioning).</w:t>
      </w:r>
    </w:p>
    <w:p w14:paraId="304B188D" w14:textId="77777777" w:rsidR="00DA2522" w:rsidRDefault="00000000">
      <w:pPr>
        <w:pStyle w:val="Heading1"/>
      </w:pPr>
      <w:r>
        <w:t>4. EU AI Act: System-Level Governance That Memory Must Support</w:t>
      </w:r>
    </w:p>
    <w:p w14:paraId="4BF994DD" w14:textId="77777777" w:rsidR="00DA2522" w:rsidRDefault="00000000">
      <w:pPr>
        <w:spacing w:after="100" w:line="252" w:lineRule="auto"/>
      </w:pPr>
      <w:r>
        <w:t>The AI Act does not create a standalone category of “agent memory.” Applicability depends on the AI system’s intended purpose, the operator’s role, and classification. Memory should therefore be built as a reusable control substrate capable of supporting multiple regulatory tiers rather than assuming that every memory-enabled application is high-risk.</w:t>
      </w:r>
    </w:p>
    <w:p w14:paraId="40D0D29A" w14:textId="77777777" w:rsidR="00DA2522" w:rsidRDefault="00000000">
      <w:pPr>
        <w:spacing w:after="100" w:line="252" w:lineRule="auto"/>
      </w:pPr>
      <w:r>
        <w:t>Current timing is important. The consolidated text dated 27 July 2026 states that the Regulation generally applies from 2 August 2026. Chapter III Sections 1–3 (which contain the core high-risk requirements and obligations) apply from 2 December 2027 for systems classified high-risk under Article 6(2)/Annex III, and from 2 August 2028 for Article 6(1)/Annex I systems. Earlier versions of the Act used different dates; internal material should use the current consolidated text. [R4]</w:t>
      </w:r>
    </w:p>
    <w:p w14:paraId="353A6541" w14:textId="3BD296E5" w:rsidR="00C4590B" w:rsidRPr="00C4590B" w:rsidRDefault="00C4590B">
      <w:pPr>
        <w:spacing w:after="100" w:line="252" w:lineRule="auto"/>
        <w:rPr>
          <w:b/>
          <w:bCs/>
          <w:color w:val="FF0000"/>
        </w:rPr>
      </w:pPr>
      <w:r w:rsidRPr="00C4590B">
        <w:rPr>
          <w:b/>
          <w:bCs/>
          <w:color w:val="FF0000"/>
        </w:rPr>
        <w:t>Classification guidance</w:t>
      </w:r>
    </w:p>
    <w:tbl>
      <w:tblPr>
        <w:tblStyle w:val="TableGrid"/>
        <w:tblW w:w="0" w:type="auto"/>
        <w:jc w:val="center"/>
        <w:tblLook w:val="04A0" w:firstRow="1" w:lastRow="0" w:firstColumn="1" w:lastColumn="0" w:noHBand="0" w:noVBand="1"/>
      </w:tblPr>
      <w:tblGrid>
        <w:gridCol w:w="2952"/>
        <w:gridCol w:w="7200"/>
      </w:tblGrid>
      <w:tr w:rsidR="00DA2522" w14:paraId="1907E50F" w14:textId="77777777">
        <w:trPr>
          <w:jc w:val="center"/>
        </w:trPr>
        <w:tc>
          <w:tcPr>
            <w:tcW w:w="2952" w:type="dxa"/>
            <w:shd w:val="clear" w:color="auto" w:fill="173A5E"/>
            <w:vAlign w:val="center"/>
          </w:tcPr>
          <w:p w14:paraId="262C4280" w14:textId="77777777" w:rsidR="00DA2522" w:rsidRDefault="00000000">
            <w:r>
              <w:rPr>
                <w:b/>
                <w:color w:val="FFFFFF"/>
                <w:sz w:val="16"/>
              </w:rPr>
              <w:t>AI Act area</w:t>
            </w:r>
          </w:p>
        </w:tc>
        <w:tc>
          <w:tcPr>
            <w:tcW w:w="7200" w:type="dxa"/>
            <w:shd w:val="clear" w:color="auto" w:fill="173A5E"/>
            <w:vAlign w:val="center"/>
          </w:tcPr>
          <w:p w14:paraId="0AFFF934" w14:textId="77777777" w:rsidR="00DA2522" w:rsidRDefault="00000000">
            <w:r>
              <w:rPr>
                <w:b/>
                <w:color w:val="FFFFFF"/>
                <w:sz w:val="16"/>
              </w:rPr>
              <w:t>Memory implication</w:t>
            </w:r>
          </w:p>
        </w:tc>
      </w:tr>
      <w:tr w:rsidR="00DA2522" w14:paraId="120095B6" w14:textId="77777777">
        <w:trPr>
          <w:jc w:val="center"/>
        </w:trPr>
        <w:tc>
          <w:tcPr>
            <w:tcW w:w="2952" w:type="dxa"/>
            <w:vAlign w:val="center"/>
          </w:tcPr>
          <w:p w14:paraId="5EEB2785" w14:textId="77777777" w:rsidR="00DA2522" w:rsidRDefault="00000000">
            <w:r>
              <w:rPr>
                <w:sz w:val="16"/>
              </w:rPr>
              <w:t>Prohibited practices (Art. 5)</w:t>
            </w:r>
          </w:p>
        </w:tc>
        <w:tc>
          <w:tcPr>
            <w:tcW w:w="7200" w:type="dxa"/>
            <w:vAlign w:val="center"/>
          </w:tcPr>
          <w:p w14:paraId="7E58068F" w14:textId="77777777" w:rsidR="00DA2522" w:rsidRDefault="00000000">
            <w:r>
              <w:rPr>
                <w:sz w:val="16"/>
              </w:rPr>
              <w:t>Persistent profiling/personalization can increase manipulation or exploitation risk. The memory library should support suppression of prohibited or restricted attributes/uses rather than relying only on prompts.</w:t>
            </w:r>
          </w:p>
        </w:tc>
      </w:tr>
      <w:tr w:rsidR="00DA2522" w14:paraId="04F738D2" w14:textId="77777777">
        <w:trPr>
          <w:jc w:val="center"/>
        </w:trPr>
        <w:tc>
          <w:tcPr>
            <w:tcW w:w="2952" w:type="dxa"/>
            <w:shd w:val="clear" w:color="auto" w:fill="F3F6F9"/>
            <w:vAlign w:val="center"/>
          </w:tcPr>
          <w:p w14:paraId="3B7C210A" w14:textId="77777777" w:rsidR="00DA2522" w:rsidRDefault="00000000">
            <w:r>
              <w:rPr>
                <w:sz w:val="16"/>
              </w:rPr>
              <w:t>Risk management (Art. 9, when applicable)</w:t>
            </w:r>
          </w:p>
        </w:tc>
        <w:tc>
          <w:tcPr>
            <w:tcW w:w="7200" w:type="dxa"/>
            <w:shd w:val="clear" w:color="auto" w:fill="F3F6F9"/>
            <w:vAlign w:val="center"/>
          </w:tcPr>
          <w:p w14:paraId="240C3FC5" w14:textId="77777777" w:rsidR="00DA2522" w:rsidRDefault="00000000">
            <w:r>
              <w:rPr>
                <w:sz w:val="16"/>
              </w:rPr>
              <w:t>Memory failure modes—staleness, false memory, leakage, poisoning, conflict, deletion failure—should be part of the AI system risk inventory and testing program.</w:t>
            </w:r>
          </w:p>
        </w:tc>
      </w:tr>
      <w:tr w:rsidR="00DA2522" w14:paraId="1072ADAE" w14:textId="77777777">
        <w:trPr>
          <w:jc w:val="center"/>
        </w:trPr>
        <w:tc>
          <w:tcPr>
            <w:tcW w:w="2952" w:type="dxa"/>
            <w:vAlign w:val="center"/>
          </w:tcPr>
          <w:p w14:paraId="1B4B7202" w14:textId="77777777" w:rsidR="00DA2522" w:rsidRDefault="00000000">
            <w:r>
              <w:rPr>
                <w:sz w:val="16"/>
              </w:rPr>
              <w:t>Data/data governance (Art. 10, when applicable)</w:t>
            </w:r>
          </w:p>
        </w:tc>
        <w:tc>
          <w:tcPr>
            <w:tcW w:w="7200" w:type="dxa"/>
            <w:vAlign w:val="center"/>
          </w:tcPr>
          <w:p w14:paraId="38618687" w14:textId="77777777" w:rsidR="00DA2522" w:rsidRDefault="00000000">
            <w:r>
              <w:rPr>
                <w:sz w:val="16"/>
              </w:rPr>
              <w:t>Memory inputs and derived representations require lineage, relevance, quality, representativeness where applicable, and data-governance controls.</w:t>
            </w:r>
          </w:p>
        </w:tc>
      </w:tr>
      <w:tr w:rsidR="00DA2522" w14:paraId="6394F0A1" w14:textId="77777777">
        <w:trPr>
          <w:jc w:val="center"/>
        </w:trPr>
        <w:tc>
          <w:tcPr>
            <w:tcW w:w="2952" w:type="dxa"/>
            <w:shd w:val="clear" w:color="auto" w:fill="F3F6F9"/>
            <w:vAlign w:val="center"/>
          </w:tcPr>
          <w:p w14:paraId="1A7DAE60" w14:textId="77777777" w:rsidR="00DA2522" w:rsidRDefault="00000000">
            <w:r>
              <w:rPr>
                <w:sz w:val="16"/>
              </w:rPr>
              <w:t>Technical documentation (Art. 11)</w:t>
            </w:r>
          </w:p>
        </w:tc>
        <w:tc>
          <w:tcPr>
            <w:tcW w:w="7200" w:type="dxa"/>
            <w:shd w:val="clear" w:color="auto" w:fill="F3F6F9"/>
            <w:vAlign w:val="center"/>
          </w:tcPr>
          <w:p w14:paraId="62975B42" w14:textId="77777777" w:rsidR="00DA2522" w:rsidRDefault="00000000">
            <w:r>
              <w:rPr>
                <w:sz w:val="16"/>
              </w:rPr>
              <w:t>Document memory architecture, providers, schemas, retrieval policies, retention, failure modes, tests, and version history.</w:t>
            </w:r>
          </w:p>
        </w:tc>
      </w:tr>
      <w:tr w:rsidR="00DA2522" w14:paraId="4CD9449B" w14:textId="77777777">
        <w:trPr>
          <w:jc w:val="center"/>
        </w:trPr>
        <w:tc>
          <w:tcPr>
            <w:tcW w:w="2952" w:type="dxa"/>
            <w:vAlign w:val="center"/>
          </w:tcPr>
          <w:p w14:paraId="63E041C7" w14:textId="77777777" w:rsidR="00DA2522" w:rsidRDefault="00000000">
            <w:r>
              <w:rPr>
                <w:sz w:val="16"/>
              </w:rPr>
              <w:t>Record-keeping (Art. 12)</w:t>
            </w:r>
          </w:p>
        </w:tc>
        <w:tc>
          <w:tcPr>
            <w:tcW w:w="7200" w:type="dxa"/>
            <w:vAlign w:val="center"/>
          </w:tcPr>
          <w:p w14:paraId="2D4861B6" w14:textId="77777777" w:rsidR="00DA2522" w:rsidRDefault="00000000">
            <w:r>
              <w:rPr>
                <w:sz w:val="16"/>
              </w:rPr>
              <w:t>High-risk systems must technically support automatic event logging; memory events should be logged with actor, purpose, policy, source and version identifiers. [R12]</w:t>
            </w:r>
          </w:p>
        </w:tc>
      </w:tr>
      <w:tr w:rsidR="00DA2522" w14:paraId="1118A27D" w14:textId="77777777">
        <w:trPr>
          <w:jc w:val="center"/>
        </w:trPr>
        <w:tc>
          <w:tcPr>
            <w:tcW w:w="2952" w:type="dxa"/>
            <w:shd w:val="clear" w:color="auto" w:fill="F3F6F9"/>
            <w:vAlign w:val="center"/>
          </w:tcPr>
          <w:p w14:paraId="4629BEB5" w14:textId="77777777" w:rsidR="00DA2522" w:rsidRDefault="00000000">
            <w:r>
              <w:rPr>
                <w:sz w:val="16"/>
              </w:rPr>
              <w:t>Human oversight (Art. 14)</w:t>
            </w:r>
          </w:p>
        </w:tc>
        <w:tc>
          <w:tcPr>
            <w:tcW w:w="7200" w:type="dxa"/>
            <w:shd w:val="clear" w:color="auto" w:fill="F3F6F9"/>
            <w:vAlign w:val="center"/>
          </w:tcPr>
          <w:p w14:paraId="4A85FBC5" w14:textId="77777777" w:rsidR="00DA2522" w:rsidRDefault="00000000">
            <w:r>
              <w:rPr>
                <w:sz w:val="16"/>
              </w:rPr>
              <w:t>Oversight should be keyed to decision significance and application risk, not imposed mechanically on every memory operation.</w:t>
            </w:r>
          </w:p>
        </w:tc>
      </w:tr>
      <w:tr w:rsidR="00DA2522" w14:paraId="0E853A0D" w14:textId="77777777">
        <w:trPr>
          <w:jc w:val="center"/>
        </w:trPr>
        <w:tc>
          <w:tcPr>
            <w:tcW w:w="2952" w:type="dxa"/>
            <w:vAlign w:val="center"/>
          </w:tcPr>
          <w:p w14:paraId="791E5ACA" w14:textId="77777777" w:rsidR="00DA2522" w:rsidRDefault="00000000">
            <w:r>
              <w:rPr>
                <w:sz w:val="16"/>
              </w:rPr>
              <w:t>Accuracy, robustness, cybersecurity (Art. 15)</w:t>
            </w:r>
          </w:p>
        </w:tc>
        <w:tc>
          <w:tcPr>
            <w:tcW w:w="7200" w:type="dxa"/>
            <w:vAlign w:val="center"/>
          </w:tcPr>
          <w:p w14:paraId="1C8DFF3B" w14:textId="77777777" w:rsidR="00DA2522" w:rsidRDefault="00000000">
            <w:r>
              <w:rPr>
                <w:sz w:val="16"/>
              </w:rPr>
              <w:t>Memory poisoning, stale memory, cross-tenant leakage, graph injection, provider failure and retrieval manipulation belong in robustness/security testing.</w:t>
            </w:r>
          </w:p>
        </w:tc>
      </w:tr>
      <w:tr w:rsidR="00DA2522" w14:paraId="03FAEA01" w14:textId="77777777">
        <w:trPr>
          <w:jc w:val="center"/>
        </w:trPr>
        <w:tc>
          <w:tcPr>
            <w:tcW w:w="2952" w:type="dxa"/>
            <w:shd w:val="clear" w:color="auto" w:fill="F3F6F9"/>
            <w:vAlign w:val="center"/>
          </w:tcPr>
          <w:p w14:paraId="2810C05E" w14:textId="77777777" w:rsidR="00DA2522" w:rsidRDefault="00000000">
            <w:r>
              <w:rPr>
                <w:sz w:val="16"/>
              </w:rPr>
              <w:t>Deployer obligations (Art. 26)</w:t>
            </w:r>
          </w:p>
        </w:tc>
        <w:tc>
          <w:tcPr>
            <w:tcW w:w="7200" w:type="dxa"/>
            <w:shd w:val="clear" w:color="auto" w:fill="F3F6F9"/>
            <w:vAlign w:val="center"/>
          </w:tcPr>
          <w:p w14:paraId="25B0A01B" w14:textId="77777777" w:rsidR="00DA2522" w:rsidRDefault="00000000">
            <w:r>
              <w:rPr>
                <w:sz w:val="16"/>
              </w:rPr>
              <w:t>Applications must use high-risk systems according to instructions and maintain appropriate operational controls; memory governance should support deployer-side evidence and monitoring.</w:t>
            </w:r>
          </w:p>
        </w:tc>
      </w:tr>
    </w:tbl>
    <w:p w14:paraId="4BEFD2B3" w14:textId="77777777" w:rsidR="00DA2522" w:rsidRDefault="00DA2522">
      <w:pPr>
        <w:spacing w:after="0"/>
      </w:pPr>
    </w:p>
    <w:p w14:paraId="4A72E88E" w14:textId="77777777" w:rsidR="00DA2522" w:rsidRDefault="00000000">
      <w:pPr>
        <w:spacing w:after="100" w:line="252" w:lineRule="auto"/>
      </w:pPr>
      <w:r>
        <w:lastRenderedPageBreak/>
        <w:t>A critical architectural implication is scope-tiered governance: the same RockAI memory backend could support a low-impact internal assistant, an investment workflow, or a client-facing/high-impact decision system. The backend should expose controls and evidence sufficient for the highest plausible deployment tier, while the application policy selects what is mandatory in a given use case.</w:t>
      </w:r>
    </w:p>
    <w:p w14:paraId="35506D06" w14:textId="77777777" w:rsidR="00DA2522" w:rsidRDefault="00000000">
      <w:pPr>
        <w:spacing w:after="100" w:line="252" w:lineRule="auto"/>
      </w:pPr>
      <w:r>
        <w:t>Harmonised-standards status for Article 12 (as of 17 September 2026). The CEN/CENELEC JTC 21 draft prEN 18229-1, "AI trustworthiness framework — Part 1: Logging," is the standard intended to carry a presumption of conformity with Article 12. It is further along than commonly reported: its enquiry stage closed in summer 2026 (BSI window 28 May–21 July; DIN national window to 5 August) and its formal vote closed on 20 August 2026, so it should be treated as a near-final specification rather than an early draft. Human oversight is addressed in a separate Part 3 (prEN 18229-3), whose enquiry window remains open until 22 September 2026 — a live opportunity to comment on how oversight of memory-driven decisions will be operationalised. Citing 18229-1 for oversight requirements is a mis-cite. RockAI's memory-event log schema (Section 9) should be reconciled against the 18229-1 enquiry draft before the governance specification is finalised. [R36]</w:t>
      </w:r>
    </w:p>
    <w:p w14:paraId="6973460F" w14:textId="77777777" w:rsidR="00DA2522" w:rsidRDefault="00000000">
      <w:pPr>
        <w:pStyle w:val="Heading1"/>
      </w:pPr>
      <w:r>
        <w:t>5. United States Financial-Services Framework</w:t>
      </w:r>
    </w:p>
    <w:p w14:paraId="0653A736" w14:textId="77777777" w:rsidR="00DA2522" w:rsidRDefault="00000000">
      <w:pPr>
        <w:pStyle w:val="Heading2"/>
      </w:pPr>
      <w:r>
        <w:t>5.1 SEC Regulation S-P</w:t>
      </w:r>
    </w:p>
    <w:p w14:paraId="52427C76" w14:textId="77777777" w:rsidR="00DA2522" w:rsidRDefault="00000000">
      <w:pPr>
        <w:spacing w:after="100" w:line="252" w:lineRule="auto"/>
      </w:pPr>
      <w:r>
        <w:t>The SEC’s 2024 amendments to Regulation S-P require covered institutions—including registered investment advisers—to maintain written incident-response policies and procedures addressing unauthorized access to or use of customer information; the amendments broaden safeguarding/disposal coverage and add written compliance-record requirements. Larger entities have been required to comply since 3 December 2025. [R5–R6]</w:t>
      </w:r>
    </w:p>
    <w:p w14:paraId="5BAD9D66" w14:textId="77777777" w:rsidR="00DA2522" w:rsidRDefault="00000000">
      <w:pPr>
        <w:pStyle w:val="ListBullet"/>
        <w:spacing w:after="50"/>
      </w:pPr>
      <w:r>
        <w:rPr>
          <w:b/>
        </w:rPr>
        <w:t xml:space="preserve">Memory implication: </w:t>
      </w:r>
      <w:r>
        <w:t>If customer information is stored in agent memory, the memory system is part of the regulated information environment; it cannot be treated as transient AI context.</w:t>
      </w:r>
    </w:p>
    <w:p w14:paraId="2E7C266D" w14:textId="77777777" w:rsidR="00DA2522" w:rsidRDefault="00000000">
      <w:pPr>
        <w:pStyle w:val="ListBullet"/>
        <w:spacing w:after="50"/>
      </w:pPr>
      <w:r>
        <w:rPr>
          <w:b/>
        </w:rPr>
        <w:t xml:space="preserve">Required controls: </w:t>
      </w:r>
      <w:r>
        <w:t>classification, least privilege, incident detection, secure disposal, service-provider oversight, monitoring, and documented control operation.</w:t>
      </w:r>
    </w:p>
    <w:p w14:paraId="6BDAEB4D" w14:textId="77777777" w:rsidR="00DA2522" w:rsidRDefault="00000000">
      <w:pPr>
        <w:pStyle w:val="ListBullet"/>
        <w:spacing w:after="50"/>
      </w:pPr>
      <w:r>
        <w:rPr>
          <w:b/>
        </w:rPr>
        <w:t xml:space="preserve">Boundary: </w:t>
      </w:r>
      <w:r>
        <w:t>Regulation S-P is primarily a privacy/safeguards regime; it should not be stretched into a complete behavioral-validation standard for memory algorithms. Behavioral validation is better addressed through FS AI RMF, NIST, internal technology/model-risk standards, and research evaluation.</w:t>
      </w:r>
    </w:p>
    <w:p w14:paraId="4881E2A8" w14:textId="77777777" w:rsidR="00DA2522" w:rsidRDefault="00000000">
      <w:pPr>
        <w:pStyle w:val="Heading2"/>
      </w:pPr>
      <w:r>
        <w:t>5.2 Investment Adviser Books and Records</w:t>
      </w:r>
    </w:p>
    <w:p w14:paraId="39E12046" w14:textId="77777777" w:rsidR="00DA2522" w:rsidRDefault="00000000">
      <w:pPr>
        <w:spacing w:after="100" w:line="252" w:lineRule="auto"/>
      </w:pPr>
      <w:r>
        <w:t>Rule 204-2 requires registered investment advisers to maintain specified advisory-business records, including certain written communications relating to recommendations or advice, and generally requires covered records to be retained for at least five years. [R13] This creates a genuine design tension with automatic deletion or short TTLs: some agent interactions or memory artifacts may be regulated records while others are merely convenience state.</w:t>
      </w:r>
    </w:p>
    <w:p w14:paraId="0C9FDDB9" w14:textId="77777777" w:rsidR="00DA2522" w:rsidRDefault="00000000">
      <w:pPr>
        <w:spacing w:after="100" w:line="252" w:lineRule="auto"/>
      </w:pPr>
      <w:r>
        <w:t>The correct policy is not “U.S. retain, EU erase.” Retention must be resolved at the record level based on purpose, record category, entity, jurisdiction, legal hold, and applicable legal obligation. A memory can be retained for a legal reason yet restricted from active retrieval/use.</w:t>
      </w:r>
    </w:p>
    <w:p w14:paraId="6C09AFD6" w14:textId="77777777" w:rsidR="00DA2522" w:rsidRDefault="00000000">
      <w:pPr>
        <w:pStyle w:val="Heading2"/>
      </w:pPr>
      <w:r>
        <w:t>5.3 Treasury Financial Services AI Risk Management Framework</w:t>
      </w:r>
    </w:p>
    <w:p w14:paraId="4AAB9655" w14:textId="77777777" w:rsidR="00DA2522" w:rsidRDefault="00000000">
      <w:pPr>
        <w:spacing w:after="100" w:line="252" w:lineRule="auto"/>
      </w:pPr>
      <w:r>
        <w:t>Treasury released the Financial Services AI Risk Management Framework on 19 February 2026 as a financial-sector adaptation of the NIST AI RMF. Treasury describes it as a practical framework for evaluating AI use cases, managing risk across the AI lifecycle, and embedding accountability, transparency, security, and operational resilience. [R7] For RockAI, it is the most useful U.S. sector-level organizing framework for AI governance even though it is not itself a binding rule.</w:t>
      </w:r>
    </w:p>
    <w:tbl>
      <w:tblPr>
        <w:tblStyle w:val="TableGrid"/>
        <w:tblW w:w="0" w:type="auto"/>
        <w:jc w:val="center"/>
        <w:tblLook w:val="04A0" w:firstRow="1" w:lastRow="0" w:firstColumn="1" w:lastColumn="0" w:noHBand="0" w:noVBand="1"/>
      </w:tblPr>
      <w:tblGrid>
        <w:gridCol w:w="2291"/>
        <w:gridCol w:w="7861"/>
      </w:tblGrid>
      <w:tr w:rsidR="00DA2522" w14:paraId="2CB96CCA" w14:textId="77777777">
        <w:trPr>
          <w:jc w:val="center"/>
        </w:trPr>
        <w:tc>
          <w:tcPr>
            <w:tcW w:w="2304" w:type="dxa"/>
            <w:shd w:val="clear" w:color="auto" w:fill="173A5E"/>
            <w:vAlign w:val="center"/>
          </w:tcPr>
          <w:p w14:paraId="33B322CE" w14:textId="77777777" w:rsidR="00DA2522" w:rsidRDefault="00000000">
            <w:r>
              <w:rPr>
                <w:b/>
                <w:color w:val="FFFFFF"/>
                <w:sz w:val="17"/>
              </w:rPr>
              <w:t>FS AI RMF / NIST function</w:t>
            </w:r>
          </w:p>
        </w:tc>
        <w:tc>
          <w:tcPr>
            <w:tcW w:w="7920" w:type="dxa"/>
            <w:shd w:val="clear" w:color="auto" w:fill="173A5E"/>
            <w:vAlign w:val="center"/>
          </w:tcPr>
          <w:p w14:paraId="7A4B1033" w14:textId="77777777" w:rsidR="00DA2522" w:rsidRDefault="00000000">
            <w:r>
              <w:rPr>
                <w:b/>
                <w:color w:val="FFFFFF"/>
                <w:sz w:val="17"/>
              </w:rPr>
              <w:t>Memory-governance application</w:t>
            </w:r>
          </w:p>
        </w:tc>
      </w:tr>
      <w:tr w:rsidR="00DA2522" w14:paraId="23CCCFA7" w14:textId="77777777">
        <w:trPr>
          <w:jc w:val="center"/>
        </w:trPr>
        <w:tc>
          <w:tcPr>
            <w:tcW w:w="2304" w:type="dxa"/>
            <w:vAlign w:val="center"/>
          </w:tcPr>
          <w:p w14:paraId="608F4963" w14:textId="77777777" w:rsidR="00DA2522" w:rsidRDefault="00000000">
            <w:r>
              <w:rPr>
                <w:sz w:val="17"/>
              </w:rPr>
              <w:t>GOVERN</w:t>
            </w:r>
          </w:p>
        </w:tc>
        <w:tc>
          <w:tcPr>
            <w:tcW w:w="7920" w:type="dxa"/>
            <w:vAlign w:val="center"/>
          </w:tcPr>
          <w:p w14:paraId="73FF4A28" w14:textId="77777777" w:rsidR="00DA2522" w:rsidRDefault="00000000">
            <w:r>
              <w:rPr>
                <w:sz w:val="17"/>
              </w:rPr>
              <w:t>Define memory ownership, approved purposes, risk tiers, provider policies, information barriers, control accountability, exceptions and change governance.</w:t>
            </w:r>
          </w:p>
        </w:tc>
      </w:tr>
      <w:tr w:rsidR="00DA2522" w14:paraId="22037AF0" w14:textId="77777777">
        <w:trPr>
          <w:jc w:val="center"/>
        </w:trPr>
        <w:tc>
          <w:tcPr>
            <w:tcW w:w="2304" w:type="dxa"/>
            <w:shd w:val="clear" w:color="auto" w:fill="F3F6F9"/>
            <w:vAlign w:val="center"/>
          </w:tcPr>
          <w:p w14:paraId="0346FB89" w14:textId="77777777" w:rsidR="00DA2522" w:rsidRDefault="00000000">
            <w:r>
              <w:rPr>
                <w:sz w:val="17"/>
              </w:rPr>
              <w:t>MAP</w:t>
            </w:r>
          </w:p>
        </w:tc>
        <w:tc>
          <w:tcPr>
            <w:tcW w:w="7920" w:type="dxa"/>
            <w:shd w:val="clear" w:color="auto" w:fill="F3F6F9"/>
            <w:vAlign w:val="center"/>
          </w:tcPr>
          <w:p w14:paraId="552C5D48" w14:textId="77777777" w:rsidR="00DA2522" w:rsidRDefault="00000000">
            <w:r>
              <w:rPr>
                <w:sz w:val="17"/>
              </w:rPr>
              <w:t>Classify memory use case, users/data subjects, data classes, regions, third parties, criticality, downstream decisions, and potential harm pathways.</w:t>
            </w:r>
          </w:p>
        </w:tc>
      </w:tr>
      <w:tr w:rsidR="00DA2522" w14:paraId="1B75D6BB" w14:textId="77777777">
        <w:trPr>
          <w:jc w:val="center"/>
        </w:trPr>
        <w:tc>
          <w:tcPr>
            <w:tcW w:w="2304" w:type="dxa"/>
            <w:vAlign w:val="center"/>
          </w:tcPr>
          <w:p w14:paraId="7A900341" w14:textId="77777777" w:rsidR="00DA2522" w:rsidRDefault="00000000">
            <w:r>
              <w:rPr>
                <w:sz w:val="17"/>
              </w:rPr>
              <w:lastRenderedPageBreak/>
              <w:t>MEASURE</w:t>
            </w:r>
          </w:p>
        </w:tc>
        <w:tc>
          <w:tcPr>
            <w:tcW w:w="7920" w:type="dxa"/>
            <w:vAlign w:val="center"/>
          </w:tcPr>
          <w:p w14:paraId="01D9CC0E" w14:textId="77777777" w:rsidR="00DA2522" w:rsidRDefault="00000000">
            <w:r>
              <w:rPr>
                <w:sz w:val="17"/>
              </w:rPr>
              <w:t>Measure extraction accuracy, retrieval quality, drift, stale use, leakage, erasure completeness, poisoning resilience, calibration and cost.</w:t>
            </w:r>
          </w:p>
        </w:tc>
      </w:tr>
      <w:tr w:rsidR="00DA2522" w14:paraId="5E5B2E73" w14:textId="77777777">
        <w:trPr>
          <w:jc w:val="center"/>
        </w:trPr>
        <w:tc>
          <w:tcPr>
            <w:tcW w:w="2304" w:type="dxa"/>
            <w:shd w:val="clear" w:color="auto" w:fill="F3F6F9"/>
            <w:vAlign w:val="center"/>
          </w:tcPr>
          <w:p w14:paraId="12BB8CC5" w14:textId="77777777" w:rsidR="00DA2522" w:rsidRDefault="00000000">
            <w:r>
              <w:rPr>
                <w:sz w:val="17"/>
              </w:rPr>
              <w:t>MANAGE</w:t>
            </w:r>
          </w:p>
        </w:tc>
        <w:tc>
          <w:tcPr>
            <w:tcW w:w="7920" w:type="dxa"/>
            <w:shd w:val="clear" w:color="auto" w:fill="F3F6F9"/>
            <w:vAlign w:val="center"/>
          </w:tcPr>
          <w:p w14:paraId="40141AF6" w14:textId="77777777" w:rsidR="00DA2522" w:rsidRDefault="00000000">
            <w:r>
              <w:rPr>
                <w:sz w:val="17"/>
              </w:rPr>
              <w:t>Apply controls, suppress/restrict/delete memory, escalate material issues, switch providers/backends, rollback versions, and monitor residual risk.</w:t>
            </w:r>
          </w:p>
        </w:tc>
      </w:tr>
    </w:tbl>
    <w:p w14:paraId="6B11DEDF" w14:textId="77777777" w:rsidR="00DA2522" w:rsidRDefault="00DA2522">
      <w:pPr>
        <w:spacing w:after="0"/>
      </w:pPr>
    </w:p>
    <w:p w14:paraId="279FFCD6" w14:textId="77777777" w:rsidR="00DA2522" w:rsidRDefault="00000000">
      <w:pPr>
        <w:pStyle w:val="Heading2"/>
      </w:pPr>
      <w:r>
        <w:t>5.4 SR 26-2 and banking third-party guidance: useful analogues, not the center</w:t>
      </w:r>
    </w:p>
    <w:p w14:paraId="3FB35FE7" w14:textId="77777777" w:rsidR="00DA2522" w:rsidRDefault="00000000">
      <w:pPr>
        <w:spacing w:after="100" w:line="252" w:lineRule="auto"/>
      </w:pPr>
      <w:r>
        <w:t>SR 26-2, issued jointly by the Federal Reserve, OCC, and FDIC in April 2026, is expected to be most relevant to banking organizations above $30 billion in assets and expressly states that generative AI and agentic AI models are outside the scope of the guidance. It nevertheless says that a banking organization’s risk-management and governance practices should guide controls for tools outside scope. [R8]</w:t>
      </w:r>
    </w:p>
    <w:p w14:paraId="5F7309AB" w14:textId="77777777" w:rsidR="00DA2522" w:rsidRDefault="00000000">
      <w:pPr>
        <w:spacing w:after="100" w:line="252" w:lineRule="auto"/>
      </w:pPr>
      <w:r>
        <w:t>Accordingly, SR 26-2 should be used as a governance analogue—particularly for inventory, validation, outcomes analysis, change control, governance, and third-party limitations—not as a direct agent-memory compliance rule. The 2023 interagency third-party guidance similarly provides a useful lifecycle model (planning, due diligence, contracting, monitoring, termination), while its formal scope remains banking organizations. [R14]</w:t>
      </w:r>
    </w:p>
    <w:p w14:paraId="5B46BC69" w14:textId="77777777" w:rsidR="00DA2522" w:rsidRDefault="00000000">
      <w:pPr>
        <w:pStyle w:val="Heading2"/>
      </w:pPr>
      <w:r>
        <w:t>5.5 U.S. state automated-decision and privacy law</w:t>
      </w:r>
    </w:p>
    <w:p w14:paraId="43B6F970" w14:textId="77777777" w:rsidR="00DA2522" w:rsidRDefault="00000000">
      <w:pPr>
        <w:spacing w:after="100" w:line="252" w:lineRule="auto"/>
      </w:pPr>
      <w:r>
        <w:t>Federal financial-services frameworks are not the whole U.S. picture. The most active U.S. regulatory front for memory-driven profiling is state law, and it is volatile: a December 2025 White House executive order created a Department of Justice AI Litigation Task Force directed at state AI laws, and state statutes have been stayed, repealed and rewritten within months. Two regimes are directly relevant:</w:t>
      </w:r>
    </w:p>
    <w:p w14:paraId="5D8C09BD" w14:textId="77777777" w:rsidR="00DA2522" w:rsidRDefault="00000000">
      <w:pPr>
        <w:pStyle w:val="ListBullet"/>
        <w:spacing w:after="60"/>
      </w:pPr>
      <w:r>
        <w:rPr>
          <w:b/>
        </w:rPr>
        <w:t xml:space="preserve">California (CCPA / CPPA regulations). </w:t>
      </w:r>
      <w:r>
        <w:t>The CPPA's regulations on automated decisionmaking technology (ADMT), risk assessments and cybersecurity audits took effect 1 January 2026. Businesses using ADMT for "significant decisions" must comply by 1 January 2027; risk assessments for covered processing that predates 2026 must be completed by 31 December 2027; and firms with more than $100 million in revenue must submit risk-assessment attestations to the CPPA by 1 April 2028. The GLBA exemption in the CCPA is data-level, not entity-level: an asset manager's employee, prospect, website-visitor and other non-GLBA personal information remains in scope, and memory that profiles those individuals is covered. [R37]</w:t>
      </w:r>
    </w:p>
    <w:p w14:paraId="605E7F82" w14:textId="77777777" w:rsidR="00DA2522" w:rsidRDefault="00000000">
      <w:pPr>
        <w:pStyle w:val="ListBullet"/>
        <w:spacing w:after="60"/>
      </w:pPr>
      <w:r>
        <w:rPr>
          <w:b/>
        </w:rPr>
        <w:t xml:space="preserve">Colorado (SB 26-189, the Automated Decision-Making Technology Act). </w:t>
      </w:r>
      <w:r>
        <w:t>The original Colorado AI Act (SB 24-205) never took effect. After xAI sued and the Department of Justice intervened, a federal magistrate judge stayed enforcement on 27 April 2026; the legislature then repealed and replaced the statute with SB 26-189, signed 14 May 2026, effective 1 January 2027, with enforcement contingent on Attorney General rulemaking. The replacement is a narrower notice-and-rights framework that drops the original algorithmic-discrimination duties and impact assessments. [R38]</w:t>
      </w:r>
    </w:p>
    <w:p w14:paraId="244E94FD" w14:textId="77777777" w:rsidR="00DA2522" w:rsidRDefault="00000000">
      <w:pPr>
        <w:spacing w:after="100" w:line="252" w:lineRule="auto"/>
      </w:pPr>
      <w:r>
        <w:t>Memory implication: C16 (derived/inferred memory classification) and C21 (purpose-bound use) should carry a "significant decision" flag so that ADMT-style notice, opt-out, access and risk-assessment obligations can be triggered by use, not by storage. State obligations should be tracked in the currency register (Appendix E) rather than hard-coded into the specification.</w:t>
      </w:r>
    </w:p>
    <w:p w14:paraId="75B683ED" w14:textId="77777777" w:rsidR="00DA2522" w:rsidRDefault="00000000">
      <w:pPr>
        <w:pStyle w:val="Heading1"/>
      </w:pPr>
      <w:r>
        <w:t>6. Operational Resilience, Third-Party Risk, and Systemic Dependency</w:t>
      </w:r>
    </w:p>
    <w:p w14:paraId="75F00904" w14:textId="77777777" w:rsidR="00DA2522" w:rsidRDefault="00000000">
      <w:pPr>
        <w:pStyle w:val="Heading2"/>
      </w:pPr>
      <w:r>
        <w:t>6.1 DORA</w:t>
      </w:r>
    </w:p>
    <w:p w14:paraId="1496CA47" w14:textId="77777777" w:rsidR="00DA2522" w:rsidRDefault="00000000">
      <w:pPr>
        <w:spacing w:after="100" w:line="252" w:lineRule="auto"/>
      </w:pPr>
      <w:r>
        <w:t>DORA requires covered EU financial entities to manage ICT third-party risk as part of their ICT risk-management framework while remaining fully responsible for compliance. It requires identification and mapping of ICT assets and dependencies, due diligence, a register of ICT service arrangements, concentration-risk assessment, monitoring, and documented/tested exit strategies for critical or important functions. [R15]</w:t>
      </w:r>
    </w:p>
    <w:p w14:paraId="77DAC7F4" w14:textId="77777777" w:rsidR="00DA2522" w:rsidRDefault="00000000">
      <w:pPr>
        <w:spacing w:after="100" w:line="252" w:lineRule="auto"/>
      </w:pPr>
      <w:r>
        <w:t xml:space="preserve">For self-hosted open-source software, the OSS maintainer is not automatically an ICT third-party service provider merely because code is used; the actual service relationships and dependency chain matter. The relevant </w:t>
      </w:r>
      <w:r>
        <w:lastRenderedPageBreak/>
        <w:t>dependency tree can include cloud infrastructure, graph databases, model providers, embedding services, observability vendors, package repositories, and support services. Governance should therefore map the whole stack, not only the top-level memory library.</w:t>
      </w:r>
    </w:p>
    <w:p w14:paraId="1F35C465" w14:textId="77777777" w:rsidR="00DA2522" w:rsidRDefault="00000000">
      <w:pPr>
        <w:spacing w:after="100" w:line="252" w:lineRule="auto"/>
      </w:pPr>
      <w:r>
        <w:t>The European Supervisory Authorities designated the first set of critical ICT third-party providers in November 2025 and assess criticality based on factors including systemic importance, support for critical/important functions, and substitutability. [R16] Even absent designation, these concepts are useful for platform-level memory risk: common backends can create concentration and blast-radius risk.</w:t>
      </w:r>
    </w:p>
    <w:p w14:paraId="6CBC079E" w14:textId="77777777" w:rsidR="00DA2522" w:rsidRDefault="00000000">
      <w:pPr>
        <w:pStyle w:val="Heading2"/>
      </w:pPr>
      <w:r>
        <w:t>6.2 FSB financial-stability perspective</w:t>
      </w:r>
    </w:p>
    <w:p w14:paraId="047D29B2" w14:textId="77777777" w:rsidR="00DA2522" w:rsidRDefault="00000000">
      <w:pPr>
        <w:spacing w:after="100" w:line="252" w:lineRule="auto"/>
      </w:pPr>
      <w:r>
        <w:t>The FSB’s 2024 AI report highlights third-party dependencies/service-provider concentration, market correlations, cyber risk, and model risk/data quality/governance as AI vulnerabilities with potential systemic implications. Its 2025 follow-up emphasizes monitoring adoption, criticality, concentration and substitutability in the AI supply chain. [R17–R18]</w:t>
      </w:r>
    </w:p>
    <w:tbl>
      <w:tblPr>
        <w:tblStyle w:val="TableGrid"/>
        <w:tblW w:w="0" w:type="auto"/>
        <w:jc w:val="center"/>
        <w:tblLook w:val="04A0" w:firstRow="1" w:lastRow="0" w:firstColumn="1" w:lastColumn="0" w:noHBand="0" w:noVBand="1"/>
      </w:tblPr>
      <w:tblGrid>
        <w:gridCol w:w="2864"/>
        <w:gridCol w:w="7288"/>
      </w:tblGrid>
      <w:tr w:rsidR="00DA2522" w14:paraId="0F734E43" w14:textId="77777777">
        <w:trPr>
          <w:jc w:val="center"/>
        </w:trPr>
        <w:tc>
          <w:tcPr>
            <w:tcW w:w="2880" w:type="dxa"/>
            <w:shd w:val="clear" w:color="auto" w:fill="173A5E"/>
            <w:vAlign w:val="center"/>
          </w:tcPr>
          <w:p w14:paraId="50B5375A" w14:textId="77777777" w:rsidR="00DA2522" w:rsidRDefault="00000000">
            <w:r>
              <w:rPr>
                <w:b/>
                <w:color w:val="FFFFFF"/>
                <w:sz w:val="16"/>
              </w:rPr>
              <w:t>FSB vulnerability</w:t>
            </w:r>
          </w:p>
        </w:tc>
        <w:tc>
          <w:tcPr>
            <w:tcW w:w="7344" w:type="dxa"/>
            <w:shd w:val="clear" w:color="auto" w:fill="173A5E"/>
            <w:vAlign w:val="center"/>
          </w:tcPr>
          <w:p w14:paraId="53195F8C" w14:textId="77777777" w:rsidR="00DA2522" w:rsidRDefault="00000000">
            <w:r>
              <w:rPr>
                <w:b/>
                <w:color w:val="FFFFFF"/>
                <w:sz w:val="16"/>
              </w:rPr>
              <w:t>Memory manifestation</w:t>
            </w:r>
          </w:p>
        </w:tc>
      </w:tr>
      <w:tr w:rsidR="00DA2522" w14:paraId="4CEB508C" w14:textId="77777777">
        <w:trPr>
          <w:jc w:val="center"/>
        </w:trPr>
        <w:tc>
          <w:tcPr>
            <w:tcW w:w="2880" w:type="dxa"/>
            <w:vAlign w:val="center"/>
          </w:tcPr>
          <w:p w14:paraId="558E0FFE" w14:textId="77777777" w:rsidR="00DA2522" w:rsidRDefault="00000000">
            <w:r>
              <w:rPr>
                <w:sz w:val="16"/>
              </w:rPr>
              <w:t>Third-party dependency / concentration</w:t>
            </w:r>
          </w:p>
        </w:tc>
        <w:tc>
          <w:tcPr>
            <w:tcW w:w="7344" w:type="dxa"/>
            <w:vAlign w:val="center"/>
          </w:tcPr>
          <w:p w14:paraId="46087131" w14:textId="77777777" w:rsidR="00DA2522" w:rsidRDefault="00000000">
            <w:r>
              <w:rPr>
                <w:sz w:val="16"/>
              </w:rPr>
              <w:t>Many agents depending on the same memory backend, model provider, embedding service, graph DB, or cloud region.</w:t>
            </w:r>
          </w:p>
        </w:tc>
      </w:tr>
      <w:tr w:rsidR="00DA2522" w14:paraId="05207545" w14:textId="77777777">
        <w:trPr>
          <w:jc w:val="center"/>
        </w:trPr>
        <w:tc>
          <w:tcPr>
            <w:tcW w:w="2880" w:type="dxa"/>
            <w:shd w:val="clear" w:color="auto" w:fill="F3F6F9"/>
            <w:vAlign w:val="center"/>
          </w:tcPr>
          <w:p w14:paraId="7A7DEC56" w14:textId="77777777" w:rsidR="00DA2522" w:rsidRDefault="00000000">
            <w:r>
              <w:rPr>
                <w:sz w:val="16"/>
              </w:rPr>
              <w:t>Cyber risk</w:t>
            </w:r>
          </w:p>
        </w:tc>
        <w:tc>
          <w:tcPr>
            <w:tcW w:w="7344" w:type="dxa"/>
            <w:shd w:val="clear" w:color="auto" w:fill="F3F6F9"/>
            <w:vAlign w:val="center"/>
          </w:tcPr>
          <w:p w14:paraId="4BE0AB82" w14:textId="77777777" w:rsidR="00DA2522" w:rsidRDefault="00000000">
            <w:r>
              <w:rPr>
                <w:sz w:val="16"/>
              </w:rPr>
              <w:t>Memory poisoning, prompt-to-query injection, privilege escalation, cross-scope retrieval, malicious graph edges, unauthorized deletion/modification.</w:t>
            </w:r>
          </w:p>
        </w:tc>
      </w:tr>
      <w:tr w:rsidR="00DA2522" w14:paraId="7544CB2C" w14:textId="77777777">
        <w:trPr>
          <w:jc w:val="center"/>
        </w:trPr>
        <w:tc>
          <w:tcPr>
            <w:tcW w:w="2880" w:type="dxa"/>
            <w:vAlign w:val="center"/>
          </w:tcPr>
          <w:p w14:paraId="493F7FC7" w14:textId="77777777" w:rsidR="00DA2522" w:rsidRDefault="00000000">
            <w:r>
              <w:rPr>
                <w:sz w:val="16"/>
              </w:rPr>
              <w:t>Model / data-quality / governance risk</w:t>
            </w:r>
          </w:p>
        </w:tc>
        <w:tc>
          <w:tcPr>
            <w:tcW w:w="7344" w:type="dxa"/>
            <w:vAlign w:val="center"/>
          </w:tcPr>
          <w:p w14:paraId="2415D979" w14:textId="77777777" w:rsidR="00DA2522" w:rsidRDefault="00000000">
            <w:r>
              <w:rPr>
                <w:sz w:val="16"/>
              </w:rPr>
              <w:t>Hallucinated extractions, stale facts, poor entity resolution, contradictory memories, unsupported inference, ungoverned promotion to skills.</w:t>
            </w:r>
          </w:p>
        </w:tc>
      </w:tr>
      <w:tr w:rsidR="00DA2522" w14:paraId="14701053" w14:textId="77777777">
        <w:trPr>
          <w:jc w:val="center"/>
        </w:trPr>
        <w:tc>
          <w:tcPr>
            <w:tcW w:w="2880" w:type="dxa"/>
            <w:shd w:val="clear" w:color="auto" w:fill="F3F6F9"/>
            <w:vAlign w:val="center"/>
          </w:tcPr>
          <w:p w14:paraId="6B335D7A" w14:textId="77777777" w:rsidR="00DA2522" w:rsidRDefault="00000000">
            <w:r>
              <w:rPr>
                <w:sz w:val="16"/>
              </w:rPr>
              <w:t>Market correlation / common behavior</w:t>
            </w:r>
          </w:p>
        </w:tc>
        <w:tc>
          <w:tcPr>
            <w:tcW w:w="7344" w:type="dxa"/>
            <w:shd w:val="clear" w:color="auto" w:fill="F3F6F9"/>
            <w:vAlign w:val="center"/>
          </w:tcPr>
          <w:p w14:paraId="2C961353" w14:textId="77777777" w:rsidR="00DA2522" w:rsidRDefault="00000000">
            <w:r>
              <w:rPr>
                <w:sz w:val="16"/>
              </w:rPr>
              <w:t>Shared memory/rules or centrally distributed procedures can synchronize behavior across many agents; failures can propagate at scale.</w:t>
            </w:r>
          </w:p>
        </w:tc>
      </w:tr>
      <w:tr w:rsidR="00DA2522" w14:paraId="0E060829" w14:textId="77777777">
        <w:trPr>
          <w:jc w:val="center"/>
        </w:trPr>
        <w:tc>
          <w:tcPr>
            <w:tcW w:w="2880" w:type="dxa"/>
            <w:vAlign w:val="center"/>
          </w:tcPr>
          <w:p w14:paraId="2A2F0A55" w14:textId="77777777" w:rsidR="00DA2522" w:rsidRDefault="00000000">
            <w:r>
              <w:rPr>
                <w:sz w:val="16"/>
              </w:rPr>
              <w:t>Substitutability / resilience</w:t>
            </w:r>
          </w:p>
        </w:tc>
        <w:tc>
          <w:tcPr>
            <w:tcW w:w="7344" w:type="dxa"/>
            <w:vAlign w:val="center"/>
          </w:tcPr>
          <w:p w14:paraId="69AC31F9" w14:textId="77777777" w:rsidR="00DA2522" w:rsidRDefault="00000000">
            <w:r>
              <w:rPr>
                <w:sz w:val="16"/>
              </w:rPr>
              <w:t>A proprietary schema/backend may create migration friction and extend recovery time during provider failure or security events.</w:t>
            </w:r>
          </w:p>
        </w:tc>
      </w:tr>
    </w:tbl>
    <w:p w14:paraId="1873B330" w14:textId="77777777" w:rsidR="00DA2522" w:rsidRDefault="00DA2522">
      <w:pPr>
        <w:spacing w:after="0"/>
      </w:pPr>
    </w:p>
    <w:p w14:paraId="29ADE4F2" w14:textId="77777777" w:rsidR="00DA2522" w:rsidRDefault="00000000">
      <w:pPr>
        <w:pStyle w:val="Heading2"/>
      </w:pPr>
      <w:r>
        <w:t>6.3 NIST and ISO as implementation/evidence layers</w:t>
      </w:r>
    </w:p>
    <w:p w14:paraId="0F34EDB6" w14:textId="77777777" w:rsidR="00DA2522" w:rsidRDefault="00000000">
      <w:pPr>
        <w:spacing w:after="100" w:line="252" w:lineRule="auto"/>
      </w:pPr>
      <w:r>
        <w:t>NIST AI RMF organizes AI risk management around GOVERN, MAP, MEASURE, and MANAGE and emphasizes continuous lifecycle management. The Generative AI Profile provides additional risk guidance for GenAI systems, while NIST secure-development guidance emphasizes integrity, provenance, and security of acquired open-source and third-party AI/software components. [R19–R21] ISO/IEC 42001 provides an organization-level AI management-system structure for policies, risk treatment, accountability, monitoring, and continual improvement. [R22]</w:t>
      </w:r>
    </w:p>
    <w:p w14:paraId="7C9011C4" w14:textId="77777777" w:rsidR="00DA2522" w:rsidRDefault="00000000">
      <w:pPr>
        <w:pStyle w:val="Heading2"/>
      </w:pPr>
      <w:r>
        <w:t>6.4 Entity-specific consideration: platform criticality and the Aladdin question</w:t>
      </w:r>
    </w:p>
    <w:p w14:paraId="3E068450" w14:textId="77777777" w:rsidR="00DA2522" w:rsidRDefault="00000000">
      <w:pPr>
        <w:spacing w:after="100" w:line="252" w:lineRule="auto"/>
      </w:pPr>
      <w:r>
        <w:t>Section 5.4's scope-tiered governance principle (C12) is not a theoretical concern for an entity operating Aladdin. Three documented, entity-specific facts support treating the internal-vs-platform-critical scope decision as a governance-architecture input from the outset rather than a later scaling exercise:</w:t>
      </w:r>
    </w:p>
    <w:p w14:paraId="1B0ED17F" w14:textId="77777777" w:rsidR="00DA2522" w:rsidRDefault="00000000">
      <w:pPr>
        <w:pStyle w:val="ListBullet"/>
        <w:spacing w:after="60"/>
      </w:pPr>
      <w:r>
        <w:rPr>
          <w:b/>
        </w:rPr>
        <w:t xml:space="preserve">Self-disclosed regulatory-scrutiny risk. </w:t>
      </w:r>
      <w:r>
        <w:t>BlackRock's own SEC filings (Form ARS, FY2024/FY2025) disclose that continuing growth in Aladdin's processing scale "may expose BlackRock to reputational harm, increased regulatory scrutiny and heightened operational, data management, cyber- and information-security risks." [R34] This is a self-disclosed risk factor, not third-party commentary, and applies with at least equal force to any memory capability embedded in or feeding Aladdin.</w:t>
      </w:r>
    </w:p>
    <w:p w14:paraId="2287C636" w14:textId="77777777" w:rsidR="00DA2522" w:rsidRDefault="00000000">
      <w:pPr>
        <w:pStyle w:val="ListBullet"/>
        <w:spacing w:after="60"/>
      </w:pPr>
      <w:r>
        <w:rPr>
          <w:b/>
        </w:rPr>
        <w:t xml:space="preserve">Supervisory precedent naming platform-level failure risk. </w:t>
      </w:r>
      <w:r>
        <w:t>The UK FCA stated in January 2021 that failure of "a large portfolio and risk system, like Aladdin" could cause "serious consumer harm" or "damage market integrity" — an explicit regulatory acknowledgment of this category of platform's systemic footprint, independent of and prior to any agent-memory consideration. [R35]</w:t>
      </w:r>
    </w:p>
    <w:p w14:paraId="4DCBCD9F" w14:textId="77777777" w:rsidR="00DA2522" w:rsidRDefault="00000000">
      <w:pPr>
        <w:pStyle w:val="ListBullet"/>
        <w:spacing w:after="60"/>
      </w:pPr>
      <w:r>
        <w:rPr>
          <w:b/>
        </w:rPr>
        <w:t xml:space="preserve">Current DORA designation status. </w:t>
      </w:r>
      <w:r>
        <w:t>Aladdin is not among the nineteen providers on the European Supervisory Authorities' first critical-ICT-third-party-provider (CTPP) list (18 November 2025), which is dominated by cloud, telecom and data-infrastructure providers. [R16] This status is reassessed periodically against systemic-impact, concentration and substitutability criteria under DORA Article 31(2); given the preceding two points, non-designation should be treated as a current status to monitor, not a permanent exclusion.</w:t>
      </w:r>
    </w:p>
    <w:p w14:paraId="1E9C3BF5" w14:textId="77777777" w:rsidR="00DA2522" w:rsidRDefault="00000000">
      <w:pPr>
        <w:spacing w:after="100" w:line="252" w:lineRule="auto"/>
      </w:pPr>
      <w:r>
        <w:lastRenderedPageBreak/>
        <w:t>The practical governance implication is that the scope question on the open-decisions list ("will memory remain internal-only, or could it feed client-facing/Aladdin workflows?") is not merely a product-roadmap input to C12 — it is the single fact most likely to change which external oversight regime eventually applies (DORA CTPP-style direct EU supervision if designated; the U.S. Bank Service Company Act's authority for banking regulators to examine bank service providers, to the extent Aladdin-embedded capabilities serve bank clients; FCA operational-resilience expectations that already describe this category of platform). Resolving it early is materially cheaper than redesigning governance after a memory capability has already scaled into shared infrastructure.</w:t>
      </w:r>
    </w:p>
    <w:p w14:paraId="6AB4EEC2" w14:textId="77777777" w:rsidR="00DA2522" w:rsidRDefault="00000000">
      <w:pPr>
        <w:pStyle w:val="Heading2"/>
      </w:pPr>
      <w:r>
        <w:t>6.5 Data-protection-authority and UK developments specific to agentic AI</w:t>
      </w:r>
    </w:p>
    <w:p w14:paraId="3A3870A1" w14:textId="77777777" w:rsidR="00DA2522" w:rsidRDefault="00000000">
      <w:pPr>
        <w:spacing w:after="100" w:line="252" w:lineRule="auto"/>
      </w:pPr>
      <w:r>
        <w:t>Beyond the ICO's January 2026 agentic-AI report, several 2026 supervisory publications bear directly on memory governance and should be reflected in the specification:</w:t>
      </w:r>
    </w:p>
    <w:p w14:paraId="22459666" w14:textId="77777777" w:rsidR="00DA2522" w:rsidRDefault="00000000">
      <w:pPr>
        <w:pStyle w:val="ListBullet"/>
        <w:spacing w:after="60"/>
      </w:pPr>
      <w:r>
        <w:rPr>
          <w:b/>
        </w:rPr>
        <w:t xml:space="preserve">Spanish AEPD agentic-AI guidance (18 February 2026). </w:t>
      </w:r>
      <w:r>
        <w:t>An 81-page treatment of privacy and data-protection vulnerabilities in agentic systems, with recommended controller/processor measures — the most detailed European DPA analysis to date and a useful cross-check for Sections 3 and 13. [R39]</w:t>
      </w:r>
    </w:p>
    <w:p w14:paraId="62A78C96" w14:textId="77777777" w:rsidR="00DA2522" w:rsidRDefault="00000000">
      <w:pPr>
        <w:pStyle w:val="ListBullet"/>
        <w:spacing w:after="60"/>
      </w:pPr>
      <w:r>
        <w:rPr>
          <w:b/>
        </w:rPr>
        <w:t xml:space="preserve">EDPB Guidelines 02/2026 on anonymisation (consultation open until 30 October 2026). </w:t>
      </w:r>
      <w:r>
        <w:t>The draft explicitly names agentic AI as lowering the cost and time of re-identification and de-aggregation attacks, including against AI models and synthetic data, and refines the three-criteria test. This directly reinforces Section 8's position that embeddings and knowledge-graph representations remain personal data. The open consultation is an opportunity to submit RockAI's implementation perspective. [R40]</w:t>
      </w:r>
    </w:p>
    <w:p w14:paraId="50C945E9" w14:textId="77777777" w:rsidR="00DA2522" w:rsidRDefault="00000000">
      <w:pPr>
        <w:pStyle w:val="ListBullet"/>
        <w:spacing w:after="60"/>
      </w:pPr>
      <w:r>
        <w:rPr>
          <w:b/>
        </w:rPr>
        <w:t xml:space="preserve">EDPB–EDPS Joint Opinion 1/2026 on the AI Omnibus (20 January 2026). </w:t>
      </w:r>
      <w:r>
        <w:t>Comments on the Omnibus's new Article 4a permitting processing of special-category data for bias detection and correction; the Boards recommended a strict-necessity standard. Where memory stores special-category or inferred sensitive attributes for bias testing, Section 3's Article 9 analysis should be read together with Article 4a as enacted. [R41]</w:t>
      </w:r>
    </w:p>
    <w:p w14:paraId="548BD94E" w14:textId="77777777" w:rsidR="00DA2522" w:rsidRDefault="00000000">
      <w:pPr>
        <w:pStyle w:val="ListBullet"/>
        <w:spacing w:after="60"/>
      </w:pPr>
      <w:r>
        <w:rPr>
          <w:b/>
        </w:rPr>
        <w:t xml:space="preserve">Dutch AP consultation on the right to explanation of automated decisions (April 2026). </w:t>
      </w:r>
      <w:r>
        <w:t>Relevant to Article 15(1)(h) "meaningful information about the logic" where memory-driven consolidation contributes to a decision. [R39]</w:t>
      </w:r>
    </w:p>
    <w:p w14:paraId="141C6120" w14:textId="77777777" w:rsidR="00DA2522" w:rsidRDefault="00000000">
      <w:pPr>
        <w:pStyle w:val="ListBullet"/>
        <w:spacing w:after="60"/>
      </w:pPr>
      <w:r>
        <w:rPr>
          <w:b/>
        </w:rPr>
        <w:t xml:space="preserve">ICO–FCA joint statement on vulnerability-related data (27 March 2026). </w:t>
      </w:r>
      <w:r>
        <w:t>Aligns FCA Consumer Duty expectations for customers in vulnerable circumstances with ICO expectations on lawful and fair use of personal information. This lands directly on the financial-vulnerability inference concern in Section 3.1: inferred vulnerability stored as memory is both a Consumer Duty input and a data-protection risk. [R42]</w:t>
      </w:r>
    </w:p>
    <w:p w14:paraId="1FC6CFA9" w14:textId="77777777" w:rsidR="00DA2522" w:rsidRDefault="00000000">
      <w:pPr>
        <w:pStyle w:val="ListBullet"/>
        <w:spacing w:after="60"/>
      </w:pPr>
      <w:r>
        <w:rPr>
          <w:b/>
        </w:rPr>
        <w:t xml:space="preserve">CMA policy paper on agentic AI and consumer law; FCA AI engagement. </w:t>
      </w:r>
      <w:r>
        <w:t>The CMA has set out how consumer-law duties apply to agents; the FCA's 2026 AI engagement (comments closed 24 February 2026) was to produce board recommendations in summer 2026 and an external publication — its release should be checked before finalisation. The Treasury Committee's 20 January 2026 paper on AI in financial services signals continued parliamentary attention. [R42]</w:t>
      </w:r>
    </w:p>
    <w:p w14:paraId="2919415D" w14:textId="77777777" w:rsidR="00DA2522" w:rsidRDefault="00000000">
      <w:pPr>
        <w:spacing w:after="100" w:line="252" w:lineRule="auto"/>
      </w:pPr>
      <w:r>
        <w:t>These sources do not change the control set; they sharpen three items: C16 sensitive-inference handling (AEPD, ICO–FCA), C2 erasure assurance (EDPB 02/2026), and the explainability expectations behind C1/C20 (Dutch AP).</w:t>
      </w:r>
    </w:p>
    <w:p w14:paraId="48ED64C0" w14:textId="77777777" w:rsidR="00DA2522" w:rsidRDefault="00000000">
      <w:pPr>
        <w:pStyle w:val="Heading1"/>
      </w:pPr>
      <w:r>
        <w:t>7. Technology-Specific Assessment: Memoria and Graphiti</w:t>
      </w:r>
    </w:p>
    <w:p w14:paraId="563EFD07" w14:textId="77777777" w:rsidR="00DA2522" w:rsidRDefault="00000000">
      <w:pPr>
        <w:pStyle w:val="Heading2"/>
      </w:pPr>
      <w:r>
        <w:t>7.1 Memoria</w:t>
      </w:r>
    </w:p>
    <w:p w14:paraId="497DE93B" w14:textId="77777777" w:rsidR="00DA2522" w:rsidRDefault="00000000">
      <w:pPr>
        <w:spacing w:after="100" w:line="252" w:lineRule="auto"/>
      </w:pPr>
      <w:r>
        <w:t>Memoria combines dynamic session-level summarization with a weighted knowledge-graph user-modeling engine that incrementally captures user traits, preferences, and behavioral patterns as structured entities and relationships. [R23] This makes it an attractive in-house substrate because provenance, temporal semantics, authority and policy can be added directly to the graph model rather than bolted onto a flat retrieval store.</w:t>
      </w:r>
    </w:p>
    <w:p w14:paraId="7E6967A7" w14:textId="77777777" w:rsidR="00DA2522" w:rsidRDefault="00000000">
      <w:pPr>
        <w:spacing w:after="100" w:line="252" w:lineRule="auto"/>
      </w:pPr>
      <w:r>
        <w:lastRenderedPageBreak/>
        <w:t>However, the research architecture is optimized for memory utility and personalization, not enterprise regulatory completeness. An enterprise implementation should explicitly extend the semantic graph with temporal, provenance, policy, authority and lifecycle metadata. Conflict resolution must not rely on recency alone: newer evidence may be lower-authority than an older authoritative source. A governed resolution function should consider recency, source authority, confidence, verification status, scope and applicable policy.</w:t>
      </w:r>
    </w:p>
    <w:p w14:paraId="2CBA6F19" w14:textId="77777777" w:rsidR="00DA2522" w:rsidRDefault="00000000">
      <w:pPr>
        <w:spacing w:after="100" w:line="252" w:lineRule="auto"/>
      </w:pPr>
      <w:r>
        <w:t xml:space="preserve">This is not a hypothetical concern: an August 2026 benchmark (AuthMem-Bench) evaluating consolidation mechanisms across seven agent-memory systems and seven LLM backbones found </w:t>
      </w:r>
      <w:r>
        <w:rPr>
          <w:i/>
        </w:rPr>
        <w:t>authority collapse</w:t>
      </w:r>
      <w:r>
        <w:t xml:space="preserve"> — consolidation preserving a claim's content while erasing the source constraints on its authorized use, so that a tentative or unverified statement is later consumed with the standing of an attested fact — in 48 of 49 evaluated combinations. [R27] Before any conflict-resolution mechanism (Memoria's EWA-style weighting, Graphiti's bi-temporal invalidation, or a RockAI-governed variant) is trusted in production, it should be evaluated against this specific failure mode; the conformance suite in Section 14 should treat authority collapse as a named test category rather than folding it into general promotion-attack testing.</w:t>
      </w:r>
    </w:p>
    <w:p w14:paraId="0744EE79" w14:textId="77777777" w:rsidR="00DA2522" w:rsidRDefault="00000000">
      <w:pPr>
        <w:pStyle w:val="MemoCallout"/>
        <w:spacing w:after="100" w:line="252" w:lineRule="auto"/>
      </w:pPr>
      <w:r>
        <w:t>Recommended conceptual extension:</w:t>
      </w:r>
    </w:p>
    <w:tbl>
      <w:tblPr>
        <w:tblStyle w:val="TableGrid"/>
        <w:tblW w:w="0" w:type="auto"/>
        <w:jc w:val="center"/>
        <w:tblLook w:val="04A0" w:firstRow="1" w:lastRow="0" w:firstColumn="1" w:lastColumn="0" w:noHBand="0" w:noVBand="1"/>
      </w:tblPr>
      <w:tblGrid>
        <w:gridCol w:w="2149"/>
        <w:gridCol w:w="8003"/>
      </w:tblGrid>
      <w:tr w:rsidR="00DA2522" w14:paraId="467CDE2E" w14:textId="77777777">
        <w:trPr>
          <w:jc w:val="center"/>
        </w:trPr>
        <w:tc>
          <w:tcPr>
            <w:tcW w:w="2160" w:type="dxa"/>
            <w:shd w:val="clear" w:color="auto" w:fill="173A5E"/>
            <w:vAlign w:val="center"/>
          </w:tcPr>
          <w:p w14:paraId="7A7D4A02" w14:textId="77777777" w:rsidR="00DA2522" w:rsidRDefault="00000000">
            <w:r>
              <w:rPr>
                <w:b/>
                <w:color w:val="FFFFFF"/>
                <w:sz w:val="17"/>
              </w:rPr>
              <w:t>Layer</w:t>
            </w:r>
          </w:p>
        </w:tc>
        <w:tc>
          <w:tcPr>
            <w:tcW w:w="8064" w:type="dxa"/>
            <w:shd w:val="clear" w:color="auto" w:fill="173A5E"/>
            <w:vAlign w:val="center"/>
          </w:tcPr>
          <w:p w14:paraId="338D1574" w14:textId="77777777" w:rsidR="00DA2522" w:rsidRDefault="00000000">
            <w:r>
              <w:rPr>
                <w:b/>
                <w:color w:val="FFFFFF"/>
                <w:sz w:val="17"/>
              </w:rPr>
              <w:t>Role</w:t>
            </w:r>
          </w:p>
        </w:tc>
      </w:tr>
      <w:tr w:rsidR="00DA2522" w14:paraId="5EE7A7BF" w14:textId="77777777">
        <w:trPr>
          <w:jc w:val="center"/>
        </w:trPr>
        <w:tc>
          <w:tcPr>
            <w:tcW w:w="2160" w:type="dxa"/>
            <w:vAlign w:val="center"/>
          </w:tcPr>
          <w:p w14:paraId="3F6458C9" w14:textId="77777777" w:rsidR="00DA2522" w:rsidRDefault="00000000">
            <w:r>
              <w:rPr>
                <w:sz w:val="17"/>
              </w:rPr>
              <w:t>Semantic graph</w:t>
            </w:r>
          </w:p>
        </w:tc>
        <w:tc>
          <w:tcPr>
            <w:tcW w:w="8064" w:type="dxa"/>
            <w:vAlign w:val="center"/>
          </w:tcPr>
          <w:p w14:paraId="07AEFB34" w14:textId="77777777" w:rsidR="00DA2522" w:rsidRDefault="00000000">
            <w:r>
              <w:rPr>
                <w:sz w:val="17"/>
              </w:rPr>
              <w:t>Entities, facts, preferences, relationships, procedures.</w:t>
            </w:r>
          </w:p>
        </w:tc>
      </w:tr>
      <w:tr w:rsidR="00DA2522" w14:paraId="05438F3C" w14:textId="77777777">
        <w:trPr>
          <w:jc w:val="center"/>
        </w:trPr>
        <w:tc>
          <w:tcPr>
            <w:tcW w:w="2160" w:type="dxa"/>
            <w:shd w:val="clear" w:color="auto" w:fill="F3F6F9"/>
            <w:vAlign w:val="center"/>
          </w:tcPr>
          <w:p w14:paraId="781B2A84" w14:textId="77777777" w:rsidR="00DA2522" w:rsidRDefault="00000000">
            <w:r>
              <w:rPr>
                <w:sz w:val="17"/>
              </w:rPr>
              <w:t>Temporal graph</w:t>
            </w:r>
          </w:p>
        </w:tc>
        <w:tc>
          <w:tcPr>
            <w:tcW w:w="8064" w:type="dxa"/>
            <w:shd w:val="clear" w:color="auto" w:fill="F3F6F9"/>
            <w:vAlign w:val="center"/>
          </w:tcPr>
          <w:p w14:paraId="453B0BE1" w14:textId="77777777" w:rsidR="00DA2522" w:rsidRDefault="00000000">
            <w:r>
              <w:rPr>
                <w:sz w:val="17"/>
              </w:rPr>
              <w:t>valid_from, valid_to, supersession, chronology, event time.</w:t>
            </w:r>
          </w:p>
        </w:tc>
      </w:tr>
      <w:tr w:rsidR="00DA2522" w14:paraId="18110AD8" w14:textId="77777777">
        <w:trPr>
          <w:jc w:val="center"/>
        </w:trPr>
        <w:tc>
          <w:tcPr>
            <w:tcW w:w="2160" w:type="dxa"/>
            <w:vAlign w:val="center"/>
          </w:tcPr>
          <w:p w14:paraId="0BDA91C5" w14:textId="77777777" w:rsidR="00DA2522" w:rsidRDefault="00000000">
            <w:r>
              <w:rPr>
                <w:sz w:val="17"/>
              </w:rPr>
              <w:t>Provenance graph</w:t>
            </w:r>
          </w:p>
        </w:tc>
        <w:tc>
          <w:tcPr>
            <w:tcW w:w="8064" w:type="dxa"/>
            <w:vAlign w:val="center"/>
          </w:tcPr>
          <w:p w14:paraId="5B16E30B" w14:textId="77777777" w:rsidR="00DA2522" w:rsidRDefault="00000000">
            <w:r>
              <w:rPr>
                <w:sz w:val="17"/>
              </w:rPr>
              <w:t>source episode, source system, parent/derived relationship, extractor/prompt/model lineage.</w:t>
            </w:r>
          </w:p>
        </w:tc>
      </w:tr>
      <w:tr w:rsidR="00DA2522" w14:paraId="7A52E3EA" w14:textId="77777777">
        <w:trPr>
          <w:jc w:val="center"/>
        </w:trPr>
        <w:tc>
          <w:tcPr>
            <w:tcW w:w="2160" w:type="dxa"/>
            <w:shd w:val="clear" w:color="auto" w:fill="F3F6F9"/>
            <w:vAlign w:val="center"/>
          </w:tcPr>
          <w:p w14:paraId="60D9BEE2" w14:textId="77777777" w:rsidR="00DA2522" w:rsidRDefault="00000000">
            <w:r>
              <w:rPr>
                <w:sz w:val="17"/>
              </w:rPr>
              <w:t>Policy graph</w:t>
            </w:r>
          </w:p>
        </w:tc>
        <w:tc>
          <w:tcPr>
            <w:tcW w:w="8064" w:type="dxa"/>
            <w:shd w:val="clear" w:color="auto" w:fill="F3F6F9"/>
            <w:vAlign w:val="center"/>
          </w:tcPr>
          <w:p w14:paraId="1C7CC9B5" w14:textId="77777777" w:rsidR="00DA2522" w:rsidRDefault="00000000">
            <w:r>
              <w:rPr>
                <w:sz w:val="17"/>
              </w:rPr>
              <w:t>purpose, sensitivity, information barrier, ACL, legal basis, retention, restriction, legal hold, allowed uses.</w:t>
            </w:r>
          </w:p>
        </w:tc>
      </w:tr>
      <w:tr w:rsidR="00DA2522" w14:paraId="71DB6C62" w14:textId="77777777">
        <w:trPr>
          <w:jc w:val="center"/>
        </w:trPr>
        <w:tc>
          <w:tcPr>
            <w:tcW w:w="2160" w:type="dxa"/>
            <w:vAlign w:val="center"/>
          </w:tcPr>
          <w:p w14:paraId="58FE8CEE" w14:textId="77777777" w:rsidR="00DA2522" w:rsidRDefault="00000000">
            <w:r>
              <w:rPr>
                <w:sz w:val="17"/>
              </w:rPr>
              <w:t>Trust layer</w:t>
            </w:r>
          </w:p>
        </w:tc>
        <w:tc>
          <w:tcPr>
            <w:tcW w:w="8064" w:type="dxa"/>
            <w:vAlign w:val="center"/>
          </w:tcPr>
          <w:p w14:paraId="38716924" w14:textId="77777777" w:rsidR="00DA2522" w:rsidRDefault="00000000">
            <w:r>
              <w:rPr>
                <w:sz w:val="17"/>
              </w:rPr>
              <w:t>confidence, source authority, verification status, contradiction status, calibration metadata.</w:t>
            </w:r>
          </w:p>
        </w:tc>
      </w:tr>
    </w:tbl>
    <w:p w14:paraId="09D9D16F" w14:textId="77777777" w:rsidR="00DA2522" w:rsidRDefault="00DA2522">
      <w:pPr>
        <w:spacing w:after="0"/>
      </w:pPr>
    </w:p>
    <w:p w14:paraId="04443D1C" w14:textId="77777777" w:rsidR="00DA2522" w:rsidRDefault="00000000">
      <w:pPr>
        <w:pStyle w:val="Heading2"/>
      </w:pPr>
      <w:r>
        <w:t>7.2 Graphiti</w:t>
      </w:r>
    </w:p>
    <w:p w14:paraId="48E90DF9" w14:textId="77777777" w:rsidR="00DA2522" w:rsidRDefault="00000000">
      <w:pPr>
        <w:spacing w:after="100" w:line="252" w:lineRule="auto"/>
      </w:pPr>
      <w:r>
        <w:t>Graphiti is a self-hosted open-source temporal knowledge-graph framework. Its public implementation includes delete operations such as entity-edge deletion and episode deletion; the MCP implementation documents episode deletion as cascading removal of entities/facts created solely by that episode while preserving elements supported by other episodes. [R24] This is useful for lineage-aware erasure, but deployment-specific testing remains essential for downstream indexes, caches, embeddings, backups and physical deletion semantics.</w:t>
      </w:r>
    </w:p>
    <w:p w14:paraId="2FC9E924" w14:textId="77777777" w:rsidR="00DA2522" w:rsidRDefault="00000000">
      <w:pPr>
        <w:spacing w:after="100" w:line="252" w:lineRule="auto"/>
      </w:pPr>
      <w:r>
        <w:t>Graphiti must be treated as an execution engine inside the RockAI trust boundary rather than as the governance layer itself. Publicly disclosed CVE-2026-32247 (CVSS 3.1: 8.1, High) affected Graphiti versions through 0.28.1 on Neo4j, FalkorDB and Neptune backends (Kuzu was unaffected, as it parameterizes label handling): unsanitized search-filter node labels could enable Cypher injection, reachable both through direct access and through prompt injection against an LLM client using MCP, with independent researcher analysis describing exploitation as capable of exfiltrating data across all tenants in a shared graph or deleting the graph outright. Version 0.28.2 patched the issue. [R9–R10] This is a concrete, real-world demonstration of the cross-tenant-leakage and unauthorized-deletion threat classes in Section 13, and a direct justification for C17 and C10.</w:t>
      </w:r>
    </w:p>
    <w:p w14:paraId="7001E231" w14:textId="77777777" w:rsidR="00DA2522" w:rsidRDefault="00000000">
      <w:pPr>
        <w:spacing w:after="100" w:line="252" w:lineRule="auto"/>
      </w:pPr>
      <w:r>
        <w:rPr>
          <w:b/>
        </w:rPr>
        <w:t xml:space="preserve">Time-sensitive update (current as of this draft). </w:t>
      </w:r>
      <w:r>
        <w:t>A second, unpatched vulnerability, CVE-2026-90601, was published 13 September 2026 — an improper-authentication flaw (CWE-287) in Graphiti's REST API (server/graph_service/main.py) affecting versions 0.30.0–0.30.2, allowing an unauthenticated remote attacker to bypass authentication controls on protected API endpoints. Its published CVSS 4.0 base score is 6.9 (Medium), with some trackers rating it 7.3 (High); the "critical" label used by VulDB is the tracker's classification rather than the numeric score, NVD analysis is pending, and no public exploit is known. As of this draft, the fix exists only as an open, unmerged pull request; no patched release is yet available. [R26] Pending an official patch, any Graphiti deployment exposing this REST API should apply compensating network-level controls (firewall/allowlist restricting endpoint access to trusted callers) and should not be treated as production-ready under C5/C10 until a released fix is verified. This underscores the memorandum's core point about OSS memory: a favorable point-in-time security assessment does not substitute for continuous advisory monitoring.</w:t>
      </w:r>
    </w:p>
    <w:p w14:paraId="134F6305" w14:textId="77777777" w:rsidR="00DA2522" w:rsidRDefault="00000000">
      <w:pPr>
        <w:spacing w:after="100" w:line="252" w:lineRule="auto"/>
      </w:pPr>
      <w:r>
        <w:rPr>
          <w:i/>
        </w:rPr>
        <w:t xml:space="preserve">Naming caution for C5 tooling. </w:t>
      </w:r>
      <w:r>
        <w:t>An unrelated Ruby JSONAPI gem is also named "graphiti" and carries its own, unconnected CVEs (e.g., CVE-2026-33286). SBOM/CVE monitoring for this project should be scoped to the package identifier pkg:pypi/graphiti-core specifically, not the bare string "graphiti," to avoid both false positives and missed advisories.</w:t>
      </w:r>
    </w:p>
    <w:p w14:paraId="67967BF9" w14:textId="77777777" w:rsidR="00DA2522" w:rsidRDefault="00000000">
      <w:pPr>
        <w:spacing w:after="100" w:line="252" w:lineRule="auto"/>
      </w:pPr>
      <w:r>
        <w:lastRenderedPageBreak/>
        <w:t>Provider-routing also requires control. Any library that can call external LLM/embedding/reranking services must be configured so that client or confidential data cannot silently flow to an unapproved endpoint. Provider pinning should include region, account, model, endpoint, subprocessor, telemetry and fallback behavior—not simply the provider brand. Mem0's on-device FastEmbed integration is a useful external precedent for satisfying this control via local embedding rather than policy alone; Graphiti's equivalent maturity for fully local embedding/extraction pipelines should be evaluated on the same basis before backend selection. [R31]</w:t>
      </w:r>
    </w:p>
    <w:p w14:paraId="131EF266" w14:textId="77777777" w:rsidR="00DA2522" w:rsidRDefault="00000000">
      <w:pPr>
        <w:pStyle w:val="Heading1"/>
      </w:pPr>
      <w:r>
        <w:t>8. Erasure, Vector Stores, and the Difference Between Logical and Physical Deletion</w:t>
      </w:r>
    </w:p>
    <w:p w14:paraId="2545FEF6" w14:textId="77777777" w:rsidR="00DA2522" w:rsidRDefault="00000000">
      <w:pPr>
        <w:spacing w:after="100" w:line="252" w:lineRule="auto"/>
      </w:pPr>
      <w:r>
        <w:t>Article 17 creates a practical implementation problem for memory systems that duplicate data across text, graph, vector and cache layers. The technical question is not merely whether an API returns “deleted,” but whether recoverable representations remain and whether deleted information can re-enter active use after index rebuild or backup restoration.</w:t>
      </w:r>
    </w:p>
    <w:p w14:paraId="0952D6EC" w14:textId="77777777" w:rsidR="00DA2522" w:rsidRDefault="00000000">
      <w:pPr>
        <w:spacing w:after="100" w:line="252" w:lineRule="auto"/>
      </w:pPr>
      <w:r>
        <w:t>Recent academic work on HNSW vector databases (“Ghost Vectors,” 2026) reports that soft-deleted vectors can remain physically reconstructible from raw index files even after API deletion, across multiple implementations, demonstrating a concrete residual-risk mechanism for vector-backed memory. [R25] This is technical evidence rather than regulatory text, but it supports a stricter enterprise requirement: deletion semantics must be empirically tested at each storage layer.</w:t>
      </w:r>
    </w:p>
    <w:p w14:paraId="4A0BCE03" w14:textId="77777777" w:rsidR="00DA2522" w:rsidRDefault="00000000">
      <w:pPr>
        <w:pStyle w:val="ListBullet"/>
        <w:spacing w:after="50"/>
      </w:pPr>
      <w:r>
        <w:rPr>
          <w:b/>
        </w:rPr>
        <w:t xml:space="preserve">Live-store deletion. </w:t>
      </w:r>
      <w:r>
        <w:t>Delete or irreversibly transform raw records, graph nodes/edges, embeddings, summaries and caches as required.</w:t>
      </w:r>
    </w:p>
    <w:p w14:paraId="41EB1E5C" w14:textId="77777777" w:rsidR="00DA2522" w:rsidRDefault="00000000">
      <w:pPr>
        <w:pStyle w:val="ListBullet"/>
        <w:spacing w:after="50"/>
      </w:pPr>
      <w:r>
        <w:rPr>
          <w:b/>
        </w:rPr>
        <w:t xml:space="preserve">Derived artifact invalidation. </w:t>
      </w:r>
      <w:r>
        <w:t>Traverse dependency lineage and determine whether derived facts should be deleted, recomputed, downgraded, or preserved because independently supported.</w:t>
      </w:r>
    </w:p>
    <w:p w14:paraId="73F87E05" w14:textId="77777777" w:rsidR="00DA2522" w:rsidRDefault="00000000">
      <w:pPr>
        <w:pStyle w:val="ListBullet"/>
        <w:spacing w:after="50"/>
      </w:pPr>
      <w:r>
        <w:rPr>
          <w:b/>
        </w:rPr>
        <w:t xml:space="preserve">Index/cache refresh. </w:t>
      </w:r>
      <w:r>
        <w:t>Prevent stale search indexes, ranking caches or compiled context from continuing to return deleted data.</w:t>
      </w:r>
    </w:p>
    <w:p w14:paraId="1F07746A" w14:textId="77777777" w:rsidR="00DA2522" w:rsidRDefault="00000000">
      <w:pPr>
        <w:pStyle w:val="ListBullet"/>
        <w:spacing w:after="50"/>
      </w:pPr>
      <w:r>
        <w:rPr>
          <w:b/>
        </w:rPr>
        <w:t xml:space="preserve">Backup handling. </w:t>
      </w:r>
      <w:r>
        <w:t>Where immediate physical purge from immutable backups is infeasible, deleted data must not be restored to active use and should age out under controlled retention.</w:t>
      </w:r>
    </w:p>
    <w:p w14:paraId="7C09BDE0" w14:textId="77777777" w:rsidR="00DA2522" w:rsidRDefault="00000000">
      <w:pPr>
        <w:pStyle w:val="ListBullet"/>
        <w:spacing w:after="50"/>
      </w:pPr>
      <w:r>
        <w:rPr>
          <w:b/>
        </w:rPr>
        <w:t xml:space="preserve">Verification. </w:t>
      </w:r>
      <w:r>
        <w:t>Produce a deletion receipt recording targeted artifacts, completed actions, unresolved residues, legal-hold exceptions and verification status.</w:t>
      </w:r>
    </w:p>
    <w:p w14:paraId="1CC6437F" w14:textId="77777777" w:rsidR="00DA2522" w:rsidRDefault="00000000">
      <w:pPr>
        <w:spacing w:after="100" w:line="252" w:lineRule="auto"/>
      </w:pPr>
      <w:r>
        <w:t>Ghost Vectors demonstrates the problem; a separate, more mature line of academic research offers a concrete technical path toward a fix rather than leaving erasure assurance as an open-ended engineering exercise. Certified graph-unlearning methods (including embedding-reconstruction approaches based on range-null-space decomposition, and edge-level techniques such as GNNDelete) provide formal, provable guarantees that a specific node or edge's influence has been removed from a graph representation, and at least one recent paper ("Agentic Unlearning") applies unlearning directly to an agent's memory store rather than to static model weights. Adapting a certified-unlearning method to Graphiti's bi-temporal edge structure — and formally characterizing exactly what guarantee it provides — is recommended as a concrete Phase 3 research task under C2, rather than relying solely on the deletion-receipt/verification workflow above to carry the full compliance burden. [R28]</w:t>
      </w:r>
    </w:p>
    <w:p w14:paraId="7D18220B" w14:textId="77777777" w:rsidR="00DA2522" w:rsidRDefault="00000000">
      <w:pPr>
        <w:pStyle w:val="Heading1"/>
      </w:pPr>
      <w:r>
        <w:t>9. Recommended RockAI Governance Architecture</w:t>
      </w:r>
    </w:p>
    <w:p w14:paraId="21DF0811" w14:textId="77777777" w:rsidR="00DA2522" w:rsidRDefault="00000000">
      <w:pPr>
        <w:spacing w:after="100" w:line="252" w:lineRule="auto"/>
      </w:pPr>
      <w:r>
        <w:t>The central architectural recommendation is to separate memory intelligence and governance from backend execution. Production agents should call a RockAI Memory Governance Gateway, not backend-native APIs directly.</w:t>
      </w:r>
    </w:p>
    <w:p w14:paraId="044548A0" w14:textId="77777777" w:rsidR="00DA2522" w:rsidRDefault="00000000">
      <w:pPr>
        <w:pStyle w:val="MemoCallout"/>
      </w:pPr>
      <w:r>
        <w:t>Reference architecture:</w:t>
      </w:r>
      <w:r>
        <w:br/>
        <w:t>Agent → Governance Gateway → Policy / Risk / Audit engines → Common Memory API → Memoria | Graphiti | Mem0 | Zep → approved storage/model providers</w:t>
      </w:r>
    </w:p>
    <w:p w14:paraId="70FFCA6F" w14:textId="77777777" w:rsidR="00DA2522" w:rsidRDefault="00000000">
      <w:pPr>
        <w:spacing w:after="100" w:line="252" w:lineRule="auto"/>
      </w:pPr>
      <w:r>
        <w:lastRenderedPageBreak/>
        <w:t>This gateway pattern is not being built in isolation from external standards work, and the Common Memory API's wire format should be designed with an eye toward emerging efforts rather than as a purely internal artifact. The Model Context Protocol does not define a memory primitive of its own — wrapping a backend's operations as generic MCP tools is lossy, collapsing provenance, type taxonomy and governance metadata into opaque string parameters — which is precisely the gap several 2026 proposals are attempting to close: a vendor-neutral wire format for memory operations ("memorywire"), a cryptographic-provenance transfer protocol ("Portable Agent Memory"), and, most directly relevant, a W3C "AI Agent Memory Interoperability" Community Group chartered July 2026 whose deliverables explicitly include a regulatory crosswalk to GDPR Article 17, the EU AI Act, NIST AI RMF and ISO/IEC 42001/27001. None of these has reached meaningful adoption yet, so none should be treated as a dependency for Phase 1/2 delivery, but RockAI's Common Memory API and the C27 exit/migration contract should track this group's output and consider contributing implementation experience back to it, since a production deployment with real governance requirements is a scarce input most standards-track participants will not have. [R30] Separately, an alternative architectural philosophy is worth a comparative look before the gateway design is finalized: rather than governing a probabilistic embedding-retrieval pipeline from above via logging, at least one 2026 system ("MOSS") makes retrieval itself symbolic and reproducible so that the memory system is auditable by construction rather than audited after the fact. Whether that trade-off (less flexible retrieval, but no separate audit-fidelity question) outperforms the logging-over-probabilistic-retrieval approach implicit in this architecture is an open, testable question rather than a settled one. [R32]</w:t>
      </w:r>
    </w:p>
    <w:tbl>
      <w:tblPr>
        <w:tblStyle w:val="TableGrid"/>
        <w:tblW w:w="0" w:type="auto"/>
        <w:jc w:val="center"/>
        <w:tblLook w:val="04A0" w:firstRow="1" w:lastRow="0" w:firstColumn="1" w:lastColumn="0" w:noHBand="0" w:noVBand="1"/>
      </w:tblPr>
      <w:tblGrid>
        <w:gridCol w:w="2348"/>
        <w:gridCol w:w="3127"/>
        <w:gridCol w:w="4677"/>
      </w:tblGrid>
      <w:tr w:rsidR="00DA2522" w14:paraId="530BB755" w14:textId="77777777">
        <w:trPr>
          <w:jc w:val="center"/>
        </w:trPr>
        <w:tc>
          <w:tcPr>
            <w:tcW w:w="2376" w:type="dxa"/>
            <w:shd w:val="clear" w:color="auto" w:fill="173A5E"/>
            <w:vAlign w:val="center"/>
          </w:tcPr>
          <w:p w14:paraId="2005F9E4" w14:textId="77777777" w:rsidR="00DA2522" w:rsidRDefault="00000000">
            <w:r>
              <w:rPr>
                <w:b/>
                <w:color w:val="FFFFFF"/>
                <w:sz w:val="16"/>
              </w:rPr>
              <w:t>Governance plane</w:t>
            </w:r>
          </w:p>
        </w:tc>
        <w:tc>
          <w:tcPr>
            <w:tcW w:w="3168" w:type="dxa"/>
            <w:shd w:val="clear" w:color="auto" w:fill="173A5E"/>
            <w:vAlign w:val="center"/>
          </w:tcPr>
          <w:p w14:paraId="20505328" w14:textId="77777777" w:rsidR="00DA2522" w:rsidRDefault="00000000">
            <w:r>
              <w:rPr>
                <w:b/>
                <w:color w:val="FFFFFF"/>
                <w:sz w:val="16"/>
              </w:rPr>
              <w:t>Question answered</w:t>
            </w:r>
          </w:p>
        </w:tc>
        <w:tc>
          <w:tcPr>
            <w:tcW w:w="4752" w:type="dxa"/>
            <w:shd w:val="clear" w:color="auto" w:fill="173A5E"/>
            <w:vAlign w:val="center"/>
          </w:tcPr>
          <w:p w14:paraId="4492E944" w14:textId="77777777" w:rsidR="00DA2522" w:rsidRDefault="00000000">
            <w:r>
              <w:rPr>
                <w:b/>
                <w:color w:val="FFFFFF"/>
                <w:sz w:val="16"/>
              </w:rPr>
              <w:t>Representative controls</w:t>
            </w:r>
          </w:p>
        </w:tc>
      </w:tr>
      <w:tr w:rsidR="00DA2522" w14:paraId="10B70A8F" w14:textId="77777777">
        <w:trPr>
          <w:jc w:val="center"/>
        </w:trPr>
        <w:tc>
          <w:tcPr>
            <w:tcW w:w="2376" w:type="dxa"/>
            <w:vAlign w:val="center"/>
          </w:tcPr>
          <w:p w14:paraId="03852BB9" w14:textId="77777777" w:rsidR="00DA2522" w:rsidRDefault="00000000">
            <w:r>
              <w:rPr>
                <w:sz w:val="16"/>
              </w:rPr>
              <w:t>A. Data governance</w:t>
            </w:r>
          </w:p>
        </w:tc>
        <w:tc>
          <w:tcPr>
            <w:tcW w:w="3168" w:type="dxa"/>
            <w:vAlign w:val="center"/>
          </w:tcPr>
          <w:p w14:paraId="26EB04A4" w14:textId="77777777" w:rsidR="00DA2522" w:rsidRDefault="00000000">
            <w:r>
              <w:rPr>
                <w:sz w:val="16"/>
              </w:rPr>
              <w:t>What may be remembered?</w:t>
            </w:r>
          </w:p>
        </w:tc>
        <w:tc>
          <w:tcPr>
            <w:tcW w:w="4752" w:type="dxa"/>
            <w:vAlign w:val="center"/>
          </w:tcPr>
          <w:p w14:paraId="211DD668" w14:textId="77777777" w:rsidR="00DA2522" w:rsidRDefault="00000000">
            <w:r>
              <w:rPr>
                <w:sz w:val="16"/>
              </w:rPr>
              <w:t>Purpose/legal basis, minimisation, sensitivity, inferred data, information barriers, region/provider policy.</w:t>
            </w:r>
          </w:p>
        </w:tc>
      </w:tr>
      <w:tr w:rsidR="00DA2522" w14:paraId="4691CDD1" w14:textId="77777777">
        <w:trPr>
          <w:jc w:val="center"/>
        </w:trPr>
        <w:tc>
          <w:tcPr>
            <w:tcW w:w="2376" w:type="dxa"/>
            <w:shd w:val="clear" w:color="auto" w:fill="F3F6F9"/>
            <w:vAlign w:val="center"/>
          </w:tcPr>
          <w:p w14:paraId="591CBAF5" w14:textId="77777777" w:rsidR="00DA2522" w:rsidRDefault="00000000">
            <w:r>
              <w:rPr>
                <w:sz w:val="16"/>
              </w:rPr>
              <w:t>B. Memory integrity</w:t>
            </w:r>
          </w:p>
        </w:tc>
        <w:tc>
          <w:tcPr>
            <w:tcW w:w="3168" w:type="dxa"/>
            <w:shd w:val="clear" w:color="auto" w:fill="F3F6F9"/>
            <w:vAlign w:val="center"/>
          </w:tcPr>
          <w:p w14:paraId="3E3D2CE2" w14:textId="77777777" w:rsidR="00DA2522" w:rsidRDefault="00000000">
            <w:r>
              <w:rPr>
                <w:sz w:val="16"/>
              </w:rPr>
              <w:t>What does it mean and can it be trusted?</w:t>
            </w:r>
          </w:p>
        </w:tc>
        <w:tc>
          <w:tcPr>
            <w:tcW w:w="4752" w:type="dxa"/>
            <w:shd w:val="clear" w:color="auto" w:fill="F3F6F9"/>
            <w:vAlign w:val="center"/>
          </w:tcPr>
          <w:p w14:paraId="4BEFB8CF" w14:textId="77777777" w:rsidR="00DA2522" w:rsidRDefault="00000000">
            <w:r>
              <w:rPr>
                <w:sz w:val="16"/>
              </w:rPr>
              <w:t>Provenance, source authority, confidence, temporal validity, contradiction resolution, schema/version lineage.</w:t>
            </w:r>
          </w:p>
        </w:tc>
      </w:tr>
      <w:tr w:rsidR="00DA2522" w14:paraId="132F840A" w14:textId="77777777">
        <w:trPr>
          <w:jc w:val="center"/>
        </w:trPr>
        <w:tc>
          <w:tcPr>
            <w:tcW w:w="2376" w:type="dxa"/>
            <w:vAlign w:val="center"/>
          </w:tcPr>
          <w:p w14:paraId="6291A4FD" w14:textId="77777777" w:rsidR="00DA2522" w:rsidRDefault="00000000">
            <w:r>
              <w:rPr>
                <w:sz w:val="16"/>
              </w:rPr>
              <w:t>C. Access &amp; use governance</w:t>
            </w:r>
          </w:p>
        </w:tc>
        <w:tc>
          <w:tcPr>
            <w:tcW w:w="3168" w:type="dxa"/>
            <w:vAlign w:val="center"/>
          </w:tcPr>
          <w:p w14:paraId="0873647E" w14:textId="77777777" w:rsidR="00DA2522" w:rsidRDefault="00000000">
            <w:r>
              <w:rPr>
                <w:sz w:val="16"/>
              </w:rPr>
              <w:t>Who may retrieve/use it and for what?</w:t>
            </w:r>
          </w:p>
        </w:tc>
        <w:tc>
          <w:tcPr>
            <w:tcW w:w="4752" w:type="dxa"/>
            <w:vAlign w:val="center"/>
          </w:tcPr>
          <w:p w14:paraId="4DE2DC70" w14:textId="77777777" w:rsidR="00DA2522" w:rsidRDefault="00000000">
            <w:r>
              <w:rPr>
                <w:sz w:val="16"/>
              </w:rPr>
              <w:t>Tenant isolation, least privilege, purpose-bound retrieval, operation authorization, decision-significance controls.</w:t>
            </w:r>
          </w:p>
        </w:tc>
      </w:tr>
      <w:tr w:rsidR="00DA2522" w14:paraId="08EA3442" w14:textId="77777777">
        <w:trPr>
          <w:jc w:val="center"/>
        </w:trPr>
        <w:tc>
          <w:tcPr>
            <w:tcW w:w="2376" w:type="dxa"/>
            <w:shd w:val="clear" w:color="auto" w:fill="F3F6F9"/>
            <w:vAlign w:val="center"/>
          </w:tcPr>
          <w:p w14:paraId="20E934D3" w14:textId="77777777" w:rsidR="00DA2522" w:rsidRDefault="00000000">
            <w:r>
              <w:rPr>
                <w:sz w:val="16"/>
              </w:rPr>
              <w:t>D. Lifecycle governance</w:t>
            </w:r>
          </w:p>
        </w:tc>
        <w:tc>
          <w:tcPr>
            <w:tcW w:w="3168" w:type="dxa"/>
            <w:shd w:val="clear" w:color="auto" w:fill="F3F6F9"/>
            <w:vAlign w:val="center"/>
          </w:tcPr>
          <w:p w14:paraId="2D9C372E" w14:textId="77777777" w:rsidR="00DA2522" w:rsidRDefault="00000000">
            <w:r>
              <w:rPr>
                <w:sz w:val="16"/>
              </w:rPr>
              <w:t>How may it change or disappear?</w:t>
            </w:r>
          </w:p>
        </w:tc>
        <w:tc>
          <w:tcPr>
            <w:tcW w:w="4752" w:type="dxa"/>
            <w:shd w:val="clear" w:color="auto" w:fill="F3F6F9"/>
            <w:vAlign w:val="center"/>
          </w:tcPr>
          <w:p w14:paraId="5CFD9FD9" w14:textId="77777777" w:rsidR="00DA2522" w:rsidRDefault="00000000">
            <w:r>
              <w:rPr>
                <w:sz w:val="16"/>
              </w:rPr>
              <w:t>Correction, restriction, supersession, retention, legal hold, erasure, backup restoration, export.</w:t>
            </w:r>
          </w:p>
        </w:tc>
      </w:tr>
      <w:tr w:rsidR="00DA2522" w14:paraId="3256A3A2" w14:textId="77777777">
        <w:trPr>
          <w:jc w:val="center"/>
        </w:trPr>
        <w:tc>
          <w:tcPr>
            <w:tcW w:w="2376" w:type="dxa"/>
            <w:vAlign w:val="center"/>
          </w:tcPr>
          <w:p w14:paraId="1BE37516" w14:textId="77777777" w:rsidR="00DA2522" w:rsidRDefault="00000000">
            <w:r>
              <w:rPr>
                <w:sz w:val="16"/>
              </w:rPr>
              <w:t>E. Operational / third-party governance</w:t>
            </w:r>
          </w:p>
        </w:tc>
        <w:tc>
          <w:tcPr>
            <w:tcW w:w="3168" w:type="dxa"/>
            <w:vAlign w:val="center"/>
          </w:tcPr>
          <w:p w14:paraId="000F8DCF" w14:textId="77777777" w:rsidR="00DA2522" w:rsidRDefault="00000000">
            <w:r>
              <w:rPr>
                <w:sz w:val="16"/>
              </w:rPr>
              <w:t>Can the implementation be trusted and replaced?</w:t>
            </w:r>
          </w:p>
        </w:tc>
        <w:tc>
          <w:tcPr>
            <w:tcW w:w="4752" w:type="dxa"/>
            <w:vAlign w:val="center"/>
          </w:tcPr>
          <w:p w14:paraId="6FBFF63E" w14:textId="77777777" w:rsidR="00DA2522" w:rsidRDefault="00000000">
            <w:r>
              <w:rPr>
                <w:sz w:val="16"/>
              </w:rPr>
              <w:t>SBOM/CVEs, provider pinning, data flows, resilience, failover, versioning, migration, exit, conformance testing.</w:t>
            </w:r>
          </w:p>
        </w:tc>
      </w:tr>
    </w:tbl>
    <w:p w14:paraId="40D04FC0" w14:textId="77777777" w:rsidR="00DA2522" w:rsidRDefault="00DA2522">
      <w:pPr>
        <w:spacing w:after="0"/>
      </w:pPr>
    </w:p>
    <w:p w14:paraId="129040AF" w14:textId="77777777" w:rsidR="00DA2522" w:rsidRDefault="00000000">
      <w:pPr>
        <w:pStyle w:val="Heading2"/>
      </w:pPr>
      <w:r>
        <w:t>9.1 Design-review hardening of the architecture</w:t>
      </w:r>
    </w:p>
    <w:p w14:paraId="430E3B70" w14:textId="77777777" w:rsidR="00DA2522" w:rsidRDefault="00000000">
      <w:pPr>
        <w:spacing w:after="100" w:line="252" w:lineRule="auto"/>
      </w:pPr>
      <w:r>
        <w:t>Four design-review findings should be resolved in the architecture before the specification is written, because each changes an interface rather than a policy:</w:t>
      </w:r>
    </w:p>
    <w:p w14:paraId="140B0491" w14:textId="77777777" w:rsidR="00DA2522" w:rsidRDefault="00000000">
      <w:pPr>
        <w:pStyle w:val="ListBullet"/>
        <w:spacing w:after="60"/>
      </w:pPr>
      <w:r>
        <w:rPr>
          <w:b/>
        </w:rPr>
        <w:t xml:space="preserve">Bypass prevention must be enforced, not policied. </w:t>
      </w:r>
      <w:r>
        <w:t>Backend credentials, connection strings and database roles should exist only inside the gateway; agents reach backends over mutually authenticated channels that terminate at the gateway, and network policy should make a direct backend call impossible rather than prohibited. "A direct call is impossible" is itself a conformance test (Section 14.1). Under delivery pressure, any governance layer that can be routed around will be.</w:t>
      </w:r>
    </w:p>
    <w:p w14:paraId="05BAF018" w14:textId="77777777" w:rsidR="00DA2522" w:rsidRDefault="00000000">
      <w:pPr>
        <w:pStyle w:val="ListBullet"/>
        <w:spacing w:after="60"/>
      </w:pPr>
      <w:r>
        <w:rPr>
          <w:b/>
        </w:rPr>
        <w:t xml:space="preserve">The gateway needs a stated latency budget, and authorization must be a pre-filter. </w:t>
      </w:r>
      <w:r>
        <w:t>Agent loops retrieve memory many times per task; a policy, risk and audit evaluation on every call is real overhead. The specification should state a p95 governance-overhead budget per operation and design to it: per-session authorization envelopes computed once and cached; decision caching keyed on actor, purpose and scope; and — most importantly — authorization applied inside the index or traversal as a pre-filter. TopK(similarity | authorized) is the right formula, but post-filtering a top-k result set silently destroys recall. Vector backends generally support metadata pre-filtering; graph traversal filtering must be designed explicitly, since Graphiti's group_id is a coarse partition rather than a per-edge authorization primitive.</w:t>
      </w:r>
    </w:p>
    <w:p w14:paraId="6F996BC8" w14:textId="77777777" w:rsidR="00DA2522" w:rsidRDefault="00000000">
      <w:pPr>
        <w:pStyle w:val="ListBullet"/>
        <w:spacing w:after="60"/>
      </w:pPr>
      <w:r>
        <w:rPr>
          <w:b/>
        </w:rPr>
        <w:t xml:space="preserve">Consolidation and other background jobs are first-class gateway actors. </w:t>
      </w:r>
      <w:r>
        <w:t xml:space="preserve">Summarisation, merge, supersession, promotion and any scheduled "reflection" job constitute a write path with no user in the loop. If implemented as backend-native jobs they bypass the gateway by construction, and consolidation is precisely where authority collapse occurs (Section 7.1). Every background writer should have its own identity, its own operation permissions (C23) and its own audit trail, and consolidation touching high-authority, client-facing or </w:t>
      </w:r>
      <w:r>
        <w:lastRenderedPageBreak/>
        <w:t>barrier-scoped memory should run in a diff-and-approve mode — proposed changes staged for review rather than applied directly — with an automated policy check as the minimum reviewer.</w:t>
      </w:r>
    </w:p>
    <w:p w14:paraId="6BC8D828" w14:textId="77777777" w:rsidR="00DA2522" w:rsidRDefault="00000000">
      <w:pPr>
        <w:pStyle w:val="ListBullet"/>
        <w:spacing w:after="60"/>
      </w:pPr>
      <w:r>
        <w:rPr>
          <w:b/>
        </w:rPr>
        <w:t xml:space="preserve">Hard barriers require physical partitioning. </w:t>
      </w:r>
      <w:r>
        <w:t>"Semantic isolation, not just database ACLs" is the right ambition, but multi-hop graph traversal and cross-tenant embedding similarity are real leak paths that filters alone do not close. For information barriers and MNPI (C19), separate indices and separate graph partitions per barrier scope should be required; filter-based scoping is acceptable only for soft scopes within a single barrier. The gateway itself is a high-value target and a single point of failure, and should pass the same admission gates as any backend.</w:t>
      </w:r>
    </w:p>
    <w:p w14:paraId="13196428" w14:textId="77777777" w:rsidR="00DA2522" w:rsidRDefault="00000000">
      <w:pPr>
        <w:pStyle w:val="Heading2"/>
      </w:pPr>
      <w:r>
        <w:t>9.2 Five governance planes</w:t>
      </w:r>
    </w:p>
    <w:p w14:paraId="5023FC1E" w14:textId="77777777" w:rsidR="00DA2522" w:rsidRDefault="00000000">
      <w:pPr>
        <w:spacing w:after="100" w:line="252" w:lineRule="auto"/>
      </w:pPr>
      <w:r>
        <w:t>The thirty-three controls in Section 12 organise into five planes, each answering one question. The compliance layer is not privacy filtering; it is policy-enforced memory state management across all five.</w:t>
      </w:r>
    </w:p>
    <w:p w14:paraId="0F8BDD79" w14:textId="77777777" w:rsidR="00DA2522" w:rsidRDefault="00000000">
      <w:pPr>
        <w:pStyle w:val="ListBullet"/>
        <w:spacing w:after="60"/>
      </w:pPr>
      <w:r>
        <w:rPr>
          <w:b/>
        </w:rPr>
        <w:t xml:space="preserve">Data governance — what may be remembered? </w:t>
      </w:r>
      <w:r>
        <w:t>lawful basis, purpose, sensitivity, retention, residency (C11, C12, C13, C16, C19).</w:t>
      </w:r>
    </w:p>
    <w:p w14:paraId="03BC24E1" w14:textId="77777777" w:rsidR="00DA2522" w:rsidRDefault="00000000">
      <w:pPr>
        <w:pStyle w:val="ListBullet"/>
        <w:spacing w:after="60"/>
      </w:pPr>
      <w:r>
        <w:rPr>
          <w:b/>
        </w:rPr>
        <w:t xml:space="preserve">Memory integrity — what does the memory mean? </w:t>
      </w:r>
      <w:r>
        <w:t>provenance, confidence, temporal validity, source authority, schema (C1, C6, C15, C20, C22).</w:t>
      </w:r>
    </w:p>
    <w:p w14:paraId="63DF8EDF" w14:textId="77777777" w:rsidR="00DA2522" w:rsidRDefault="00000000">
      <w:pPr>
        <w:pStyle w:val="ListBullet"/>
        <w:spacing w:after="60"/>
      </w:pPr>
      <w:r>
        <w:rPr>
          <w:b/>
        </w:rPr>
        <w:t xml:space="preserve">Access and use — who may retrieve or use it? </w:t>
      </w:r>
      <w:r>
        <w:t>tenant isolation, purpose authorisation, operation authorisation, composition checks, identity (C17, C21, C23, C30, C32).</w:t>
      </w:r>
    </w:p>
    <w:p w14:paraId="1278F7A0" w14:textId="77777777" w:rsidR="00DA2522" w:rsidRDefault="00000000">
      <w:pPr>
        <w:pStyle w:val="ListBullet"/>
        <w:spacing w:after="60"/>
      </w:pPr>
      <w:r>
        <w:rPr>
          <w:b/>
        </w:rPr>
        <w:t xml:space="preserve">Lifecycle — how does it change or disappear? </w:t>
      </w:r>
      <w:r>
        <w:t>update, correct, restrict, expire, erase, hold, promote (C2, C7, C14, C24, C25, C28, C29).</w:t>
      </w:r>
    </w:p>
    <w:p w14:paraId="45C07D35" w14:textId="77777777" w:rsidR="00DA2522" w:rsidRDefault="00000000">
      <w:pPr>
        <w:pStyle w:val="ListBullet"/>
        <w:spacing w:after="60"/>
      </w:pPr>
      <w:r>
        <w:rPr>
          <w:b/>
        </w:rPr>
        <w:t xml:space="preserve">Operations and third party — can we trust the stack? </w:t>
      </w:r>
      <w:r>
        <w:t>OSS/vendor review, egress, versioning, failover, exit, model change, transparency (C3, C5, C10, C18, C26, C27, C31, C33).</w:t>
      </w:r>
    </w:p>
    <w:p w14:paraId="04902A0E" w14:textId="77777777" w:rsidR="00DA2522" w:rsidRDefault="00000000">
      <w:pPr>
        <w:pStyle w:val="Heading1"/>
      </w:pPr>
      <w:r>
        <w:t>10. Minimum Governed Memory Metadata Contract</w:t>
      </w:r>
    </w:p>
    <w:p w14:paraId="29AA1FB9" w14:textId="77777777" w:rsidR="00DA2522" w:rsidRDefault="00000000">
      <w:pPr>
        <w:spacing w:after="100" w:line="252" w:lineRule="auto"/>
      </w:pPr>
      <w:r>
        <w:t>Not every attribute must be physically stored on every graph edge. Some can be inherited from namespace/application policy. However, the system should be able to reconstruct the following metadata for any persisted memory or derived artifact.</w:t>
      </w:r>
    </w:p>
    <w:tbl>
      <w:tblPr>
        <w:tblStyle w:val="TableGrid"/>
        <w:tblW w:w="0" w:type="auto"/>
        <w:jc w:val="center"/>
        <w:tblLook w:val="04A0" w:firstRow="1" w:lastRow="0" w:firstColumn="1" w:lastColumn="0" w:noHBand="0" w:noVBand="1"/>
      </w:tblPr>
      <w:tblGrid>
        <w:gridCol w:w="2127"/>
        <w:gridCol w:w="8025"/>
      </w:tblGrid>
      <w:tr w:rsidR="00DA2522" w14:paraId="35D3C2D9" w14:textId="77777777">
        <w:trPr>
          <w:jc w:val="center"/>
        </w:trPr>
        <w:tc>
          <w:tcPr>
            <w:tcW w:w="2160" w:type="dxa"/>
            <w:shd w:val="clear" w:color="auto" w:fill="173A5E"/>
            <w:vAlign w:val="center"/>
          </w:tcPr>
          <w:p w14:paraId="7E8FBE5D" w14:textId="77777777" w:rsidR="00DA2522" w:rsidRDefault="00000000">
            <w:r>
              <w:rPr>
                <w:b/>
                <w:color w:val="FFFFFF"/>
                <w:sz w:val="16"/>
              </w:rPr>
              <w:t>Domain</w:t>
            </w:r>
          </w:p>
        </w:tc>
        <w:tc>
          <w:tcPr>
            <w:tcW w:w="8208" w:type="dxa"/>
            <w:shd w:val="clear" w:color="auto" w:fill="173A5E"/>
            <w:vAlign w:val="center"/>
          </w:tcPr>
          <w:p w14:paraId="6B8704E5" w14:textId="77777777" w:rsidR="00DA2522" w:rsidRDefault="00000000">
            <w:r>
              <w:rPr>
                <w:b/>
                <w:color w:val="FFFFFF"/>
                <w:sz w:val="16"/>
              </w:rPr>
              <w:t>Minimum fields / capabilities</w:t>
            </w:r>
          </w:p>
        </w:tc>
      </w:tr>
      <w:tr w:rsidR="00DA2522" w14:paraId="41E9C192" w14:textId="77777777">
        <w:trPr>
          <w:jc w:val="center"/>
        </w:trPr>
        <w:tc>
          <w:tcPr>
            <w:tcW w:w="2160" w:type="dxa"/>
            <w:vAlign w:val="center"/>
          </w:tcPr>
          <w:p w14:paraId="17E6C9D7" w14:textId="77777777" w:rsidR="00DA2522" w:rsidRDefault="00000000">
            <w:r>
              <w:rPr>
                <w:sz w:val="16"/>
              </w:rPr>
              <w:t>Identity</w:t>
            </w:r>
          </w:p>
        </w:tc>
        <w:tc>
          <w:tcPr>
            <w:tcW w:w="8208" w:type="dxa"/>
            <w:vAlign w:val="center"/>
          </w:tcPr>
          <w:p w14:paraId="0BD9E9C4" w14:textId="77777777" w:rsidR="00DA2522" w:rsidRDefault="00000000">
            <w:r>
              <w:rPr>
                <w:sz w:val="16"/>
              </w:rPr>
              <w:t>memory_id; tenant_id; subject_id; namespace; application/use-case ID.</w:t>
            </w:r>
          </w:p>
        </w:tc>
      </w:tr>
      <w:tr w:rsidR="00DA2522" w14:paraId="77011CC3" w14:textId="77777777">
        <w:trPr>
          <w:jc w:val="center"/>
        </w:trPr>
        <w:tc>
          <w:tcPr>
            <w:tcW w:w="2160" w:type="dxa"/>
            <w:shd w:val="clear" w:color="auto" w:fill="F3F6F9"/>
            <w:vAlign w:val="center"/>
          </w:tcPr>
          <w:p w14:paraId="3FB3CED0" w14:textId="77777777" w:rsidR="00DA2522" w:rsidRDefault="00000000">
            <w:r>
              <w:rPr>
                <w:sz w:val="16"/>
              </w:rPr>
              <w:t>Content semantics</w:t>
            </w:r>
          </w:p>
        </w:tc>
        <w:tc>
          <w:tcPr>
            <w:tcW w:w="8208" w:type="dxa"/>
            <w:shd w:val="clear" w:color="auto" w:fill="F3F6F9"/>
            <w:vAlign w:val="center"/>
          </w:tcPr>
          <w:p w14:paraId="7011D40E" w14:textId="77777777" w:rsidR="00DA2522" w:rsidRDefault="00000000">
            <w:r>
              <w:rPr>
                <w:sz w:val="16"/>
              </w:rPr>
              <w:t>memory type; value/reference; derivation type (explicit / extracted / inferred / derived / procedural); assertion_type (tentative / attested / instruction / hypothesis).</w:t>
            </w:r>
          </w:p>
        </w:tc>
      </w:tr>
      <w:tr w:rsidR="00DA2522" w14:paraId="0CFF4C80" w14:textId="77777777">
        <w:trPr>
          <w:jc w:val="center"/>
        </w:trPr>
        <w:tc>
          <w:tcPr>
            <w:tcW w:w="2160" w:type="dxa"/>
            <w:vAlign w:val="center"/>
          </w:tcPr>
          <w:p w14:paraId="00B95277" w14:textId="77777777" w:rsidR="00DA2522" w:rsidRDefault="00000000">
            <w:r>
              <w:rPr>
                <w:sz w:val="16"/>
              </w:rPr>
              <w:t>Provenance</w:t>
            </w:r>
          </w:p>
        </w:tc>
        <w:tc>
          <w:tcPr>
            <w:tcW w:w="8208" w:type="dxa"/>
            <w:vAlign w:val="center"/>
          </w:tcPr>
          <w:p w14:paraId="609D48D0" w14:textId="77777777" w:rsidR="00DA2522" w:rsidRDefault="00000000">
            <w:r>
              <w:rPr>
                <w:sz w:val="16"/>
              </w:rPr>
              <w:t>source_id; source_type; source authority; parent-memory IDs; recipient/derivation lineage; evidence_count; evidence_refs.</w:t>
            </w:r>
          </w:p>
        </w:tc>
      </w:tr>
      <w:tr w:rsidR="00DA2522" w14:paraId="7351E407" w14:textId="77777777">
        <w:trPr>
          <w:jc w:val="center"/>
        </w:trPr>
        <w:tc>
          <w:tcPr>
            <w:tcW w:w="2160" w:type="dxa"/>
            <w:shd w:val="clear" w:color="auto" w:fill="F3F6F9"/>
            <w:vAlign w:val="center"/>
          </w:tcPr>
          <w:p w14:paraId="39268FE2" w14:textId="77777777" w:rsidR="00DA2522" w:rsidRDefault="00000000">
            <w:r>
              <w:rPr>
                <w:sz w:val="16"/>
              </w:rPr>
              <w:t>Trust</w:t>
            </w:r>
          </w:p>
        </w:tc>
        <w:tc>
          <w:tcPr>
            <w:tcW w:w="8208" w:type="dxa"/>
            <w:shd w:val="clear" w:color="auto" w:fill="F3F6F9"/>
            <w:vAlign w:val="center"/>
          </w:tcPr>
          <w:p w14:paraId="176AB296" w14:textId="77777777" w:rsidR="00DA2522" w:rsidRDefault="00000000">
            <w:r>
              <w:rPr>
                <w:sz w:val="16"/>
              </w:rPr>
              <w:t>confidence; verification status; contradiction/dispute status; quality/calibration metadata.</w:t>
            </w:r>
          </w:p>
        </w:tc>
      </w:tr>
      <w:tr w:rsidR="00DA2522" w14:paraId="3BE983F6" w14:textId="77777777">
        <w:trPr>
          <w:jc w:val="center"/>
        </w:trPr>
        <w:tc>
          <w:tcPr>
            <w:tcW w:w="2160" w:type="dxa"/>
            <w:vAlign w:val="center"/>
          </w:tcPr>
          <w:p w14:paraId="27A5E1F2" w14:textId="77777777" w:rsidR="00DA2522" w:rsidRDefault="00000000">
            <w:r>
              <w:rPr>
                <w:sz w:val="16"/>
              </w:rPr>
              <w:t>Governance</w:t>
            </w:r>
          </w:p>
        </w:tc>
        <w:tc>
          <w:tcPr>
            <w:tcW w:w="8208" w:type="dxa"/>
            <w:vAlign w:val="center"/>
          </w:tcPr>
          <w:p w14:paraId="21D9CF11" w14:textId="77777777" w:rsidR="00DA2522" w:rsidRDefault="00000000">
            <w:r>
              <w:rPr>
                <w:sz w:val="16"/>
              </w:rPr>
              <w:t>purpose; legal basis where applicable; permitted uses; sensitivity class; information-barrier classification; jurisdiction/region; retention policy. notice_ref; effective_policy_hash.</w:t>
            </w:r>
          </w:p>
        </w:tc>
      </w:tr>
      <w:tr w:rsidR="00DA2522" w14:paraId="30D04FB4" w14:textId="77777777">
        <w:trPr>
          <w:jc w:val="center"/>
        </w:trPr>
        <w:tc>
          <w:tcPr>
            <w:tcW w:w="2160" w:type="dxa"/>
            <w:shd w:val="clear" w:color="auto" w:fill="F3F6F9"/>
            <w:vAlign w:val="center"/>
          </w:tcPr>
          <w:p w14:paraId="08784478" w14:textId="77777777" w:rsidR="00DA2522" w:rsidRDefault="00000000">
            <w:r>
              <w:rPr>
                <w:sz w:val="16"/>
              </w:rPr>
              <w:t>Temporal</w:t>
            </w:r>
          </w:p>
        </w:tc>
        <w:tc>
          <w:tcPr>
            <w:tcW w:w="8208" w:type="dxa"/>
            <w:shd w:val="clear" w:color="auto" w:fill="F3F6F9"/>
            <w:vAlign w:val="center"/>
          </w:tcPr>
          <w:p w14:paraId="08E769BE" w14:textId="77777777" w:rsidR="00DA2522" w:rsidRDefault="00000000">
            <w:r>
              <w:rPr>
                <w:sz w:val="16"/>
              </w:rPr>
              <w:t>created_at; observed_at/reference time; valid_from; valid_to; review_at; expires_at; last_retrieved_at.</w:t>
            </w:r>
          </w:p>
        </w:tc>
      </w:tr>
      <w:tr w:rsidR="00DA2522" w14:paraId="67434E3B" w14:textId="77777777">
        <w:trPr>
          <w:jc w:val="center"/>
        </w:trPr>
        <w:tc>
          <w:tcPr>
            <w:tcW w:w="2160" w:type="dxa"/>
            <w:vAlign w:val="center"/>
          </w:tcPr>
          <w:p w14:paraId="428E7047" w14:textId="77777777" w:rsidR="00DA2522" w:rsidRDefault="00000000">
            <w:r>
              <w:rPr>
                <w:sz w:val="16"/>
              </w:rPr>
              <w:t>Lifecycle</w:t>
            </w:r>
          </w:p>
        </w:tc>
        <w:tc>
          <w:tcPr>
            <w:tcW w:w="8208" w:type="dxa"/>
            <w:vAlign w:val="center"/>
          </w:tcPr>
          <w:p w14:paraId="6D761CFF" w14:textId="77777777" w:rsidR="00DA2522" w:rsidRDefault="00000000">
            <w:r>
              <w:rPr>
                <w:sz w:val="16"/>
              </w:rPr>
              <w:t>ACTIVE / PENDING_VERIFICATION / DISPUTED / QUARANTINED / RESTRICTED / SUPERSEDED / EXPIRED / HELD / DELETED; restriction/hold/quarantine reason.</w:t>
            </w:r>
          </w:p>
        </w:tc>
      </w:tr>
      <w:tr w:rsidR="00DA2522" w14:paraId="7FF0FA09" w14:textId="77777777">
        <w:trPr>
          <w:jc w:val="center"/>
        </w:trPr>
        <w:tc>
          <w:tcPr>
            <w:tcW w:w="2160" w:type="dxa"/>
            <w:shd w:val="clear" w:color="auto" w:fill="F3F6F9"/>
            <w:vAlign w:val="center"/>
          </w:tcPr>
          <w:p w14:paraId="1C1D2758" w14:textId="77777777" w:rsidR="00DA2522" w:rsidRDefault="00000000">
            <w:r>
              <w:rPr>
                <w:sz w:val="16"/>
              </w:rPr>
              <w:t>Technology lineage</w:t>
            </w:r>
          </w:p>
        </w:tc>
        <w:tc>
          <w:tcPr>
            <w:tcW w:w="8208" w:type="dxa"/>
            <w:shd w:val="clear" w:color="auto" w:fill="F3F6F9"/>
            <w:vAlign w:val="center"/>
          </w:tcPr>
          <w:p w14:paraId="257B22C1" w14:textId="77777777" w:rsidR="00DA2522" w:rsidRDefault="00000000">
            <w:r>
              <w:rPr>
                <w:sz w:val="16"/>
              </w:rPr>
              <w:t>backend/version; extractor model; embedding/reranking model; prompt/template version; schema/ontology version; policy version.</w:t>
            </w:r>
          </w:p>
        </w:tc>
      </w:tr>
      <w:tr w:rsidR="00DA2522" w14:paraId="781EF4C3" w14:textId="77777777">
        <w:trPr>
          <w:jc w:val="center"/>
        </w:trPr>
        <w:tc>
          <w:tcPr>
            <w:tcW w:w="2160" w:type="dxa"/>
            <w:vAlign w:val="center"/>
          </w:tcPr>
          <w:p w14:paraId="5AB526C0" w14:textId="77777777" w:rsidR="00DA2522" w:rsidRDefault="00000000">
            <w:r>
              <w:rPr>
                <w:sz w:val="16"/>
              </w:rPr>
              <w:t>Operations</w:t>
            </w:r>
          </w:p>
        </w:tc>
        <w:tc>
          <w:tcPr>
            <w:tcW w:w="8208" w:type="dxa"/>
            <w:vAlign w:val="center"/>
          </w:tcPr>
          <w:p w14:paraId="729C7AC6" w14:textId="77777777" w:rsidR="00DA2522" w:rsidRDefault="00000000">
            <w:r>
              <w:rPr>
                <w:sz w:val="16"/>
              </w:rPr>
              <w:t>last read/update; retrieval_count; authorized actor (incl. agent/job identity, C32); audit correlation ID; deletion/export status.</w:t>
            </w:r>
          </w:p>
        </w:tc>
      </w:tr>
    </w:tbl>
    <w:p w14:paraId="56A0E030" w14:textId="77777777" w:rsidR="00DA2522" w:rsidRDefault="00DA2522">
      <w:pPr>
        <w:spacing w:after="0"/>
      </w:pPr>
    </w:p>
    <w:p w14:paraId="74C57B4F" w14:textId="77777777" w:rsidR="00DA2522" w:rsidRDefault="00000000">
      <w:pPr>
        <w:pStyle w:val="Heading2"/>
      </w:pPr>
      <w:r>
        <w:t>10.1 Contract fields added in design review</w:t>
      </w:r>
    </w:p>
    <w:p w14:paraId="571878CA" w14:textId="77777777" w:rsidR="00DA2522" w:rsidRDefault="00000000">
      <w:pPr>
        <w:spacing w:after="100" w:line="252" w:lineRule="auto"/>
      </w:pPr>
      <w:r>
        <w:t>The conformance tests and metrics in Sections 14–15 depend on a small number of fields the contract above does not yet carry. They should be added to the minimum contract:</w:t>
      </w:r>
    </w:p>
    <w:p w14:paraId="60DEB738" w14:textId="77777777" w:rsidR="00DA2522" w:rsidRDefault="00000000">
      <w:pPr>
        <w:pStyle w:val="ListBullet"/>
        <w:spacing w:after="60"/>
      </w:pPr>
      <w:r>
        <w:rPr>
          <w:b/>
        </w:rPr>
        <w:t xml:space="preserve">effective_policy_hash. </w:t>
      </w:r>
      <w:r>
        <w:t xml:space="preserve">A hash of the fully resolved policy (after namespace and application inheritance) stored on each record. Inheritance resolvers are where governance bugs live; the hash lets audit detect when the </w:t>
      </w:r>
      <w:r>
        <w:lastRenderedPageBreak/>
        <w:t>effective policy for a record changed without a corresponding policy event, and makes "policy coverage" (Section 15.1) directly measurable.</w:t>
      </w:r>
    </w:p>
    <w:p w14:paraId="5B27D761" w14:textId="77777777" w:rsidR="00DA2522" w:rsidRDefault="00000000">
      <w:pPr>
        <w:pStyle w:val="ListBullet"/>
        <w:spacing w:after="60"/>
      </w:pPr>
      <w:r>
        <w:rPr>
          <w:b/>
        </w:rPr>
        <w:t xml:space="preserve">assertion_type. </w:t>
      </w:r>
      <w:r>
        <w:t>tentative / attested / instruction / hypothesis — the epistemic status of the claim as asserted by its source, distinct from source authority and from confidence. This is the field authority-collapse detection requires: a consolidation that turns a tentative client remark into an instruction must change assertion_type, and that change is auditable.</w:t>
      </w:r>
    </w:p>
    <w:p w14:paraId="227E7DA1" w14:textId="77777777" w:rsidR="00DA2522" w:rsidRDefault="00000000">
      <w:pPr>
        <w:pStyle w:val="ListBullet"/>
        <w:spacing w:after="60"/>
      </w:pPr>
      <w:r>
        <w:rPr>
          <w:b/>
        </w:rPr>
        <w:t xml:space="preserve">evidence_count and evidence_refs. </w:t>
      </w:r>
      <w:r>
        <w:t>The number and identity of independent supporting sources. Promotion (C24/PROMOTE) and the unsupported-inference metric both need this rather than confidence alone.</w:t>
      </w:r>
    </w:p>
    <w:p w14:paraId="69A657B6" w14:textId="77777777" w:rsidR="00DA2522" w:rsidRDefault="00000000">
      <w:pPr>
        <w:pStyle w:val="ListBullet"/>
        <w:spacing w:after="60"/>
      </w:pPr>
      <w:r>
        <w:rPr>
          <w:b/>
        </w:rPr>
        <w:t xml:space="preserve">last_retrieved_at and retrieval_count. </w:t>
      </w:r>
      <w:r>
        <w:t>Stale-memory utilisation, minimisation reviews and retention decisions all require knowing whether a memory is actually used. A memory never retrieved in its review window is a minimisation candidate.</w:t>
      </w:r>
    </w:p>
    <w:p w14:paraId="2D7FD33C" w14:textId="77777777" w:rsidR="00DA2522" w:rsidRDefault="00000000">
      <w:pPr>
        <w:pStyle w:val="ListBullet"/>
        <w:spacing w:after="60"/>
      </w:pPr>
      <w:r>
        <w:rPr>
          <w:b/>
        </w:rPr>
        <w:t xml:space="preserve">notice_ref. </w:t>
      </w:r>
      <w:r>
        <w:t>A reference to the transparency notice or ADMT disclosure under which the memory was collected, so that subject-facing obligations (Section 12.1, C31) can be evidenced per record.</w:t>
      </w:r>
    </w:p>
    <w:p w14:paraId="1BD770C7" w14:textId="77777777" w:rsidR="00DA2522" w:rsidRDefault="00000000">
      <w:pPr>
        <w:spacing w:after="100" w:line="252" w:lineRule="auto"/>
      </w:pPr>
      <w:r>
        <w:t>Three existing axes — derivation type (C16), source authority (C20) and confidence/verification (C22) — are orthogonal and are easily conflated in implementation. The specification should define them together as a single "trust tuple" (derivation, authority, assertion_type, confidence, verification) with documented interactions, e.g., an inferred derivation with low evidence_count cannot carry an "instruction" assertion_type regardless of confidence.</w:t>
      </w:r>
    </w:p>
    <w:p w14:paraId="330E3CD0" w14:textId="77777777" w:rsidR="00DA2522" w:rsidRDefault="00000000">
      <w:pPr>
        <w:spacing w:after="100" w:line="252" w:lineRule="auto"/>
      </w:pPr>
      <w:r>
        <w:t>Derivation types form a ladder of rising risk — observed → stated → extracted → inferred → predicted → derived-from-derived. Each rung is a step of accumulated uncertainty and a step further from anything a data subject actually said. Higher rungs require stronger evidence, tighter permissions and shorter default retention; the governance gateway should know which rung a memory is on before deciding whether it may influence a decision (C16).</w:t>
      </w:r>
    </w:p>
    <w:p w14:paraId="443FCC15" w14:textId="77777777" w:rsidR="00DA2522" w:rsidRDefault="00000000">
      <w:pPr>
        <w:pStyle w:val="Heading1"/>
      </w:pPr>
      <w:r>
        <w:t>11. Governed Memory Lifecycle</w:t>
      </w:r>
    </w:p>
    <w:p w14:paraId="5E851745" w14:textId="77777777" w:rsidR="00DA2522" w:rsidRDefault="00000000">
      <w:pPr>
        <w:spacing w:after="100" w:line="252" w:lineRule="auto"/>
      </w:pPr>
      <w:r>
        <w:t>A trustworthy memory library needs explicit lifecycle semantics. “Present vs. deleted” is insufficient because restriction, supersession and legal hold have different legal and operational meanings.</w:t>
      </w:r>
    </w:p>
    <w:tbl>
      <w:tblPr>
        <w:tblStyle w:val="TableGrid"/>
        <w:tblW w:w="0" w:type="auto"/>
        <w:jc w:val="center"/>
        <w:tblLook w:val="04A0" w:firstRow="1" w:lastRow="0" w:firstColumn="1" w:lastColumn="0" w:noHBand="0" w:noVBand="1"/>
      </w:tblPr>
      <w:tblGrid>
        <w:gridCol w:w="1704"/>
        <w:gridCol w:w="8448"/>
      </w:tblGrid>
      <w:tr w:rsidR="00DA2522" w14:paraId="3772F997" w14:textId="77777777">
        <w:trPr>
          <w:jc w:val="center"/>
        </w:trPr>
        <w:tc>
          <w:tcPr>
            <w:tcW w:w="1728" w:type="dxa"/>
            <w:shd w:val="clear" w:color="auto" w:fill="173A5E"/>
            <w:vAlign w:val="center"/>
          </w:tcPr>
          <w:p w14:paraId="32DAA382" w14:textId="77777777" w:rsidR="00DA2522" w:rsidRDefault="00000000">
            <w:r>
              <w:rPr>
                <w:b/>
                <w:color w:val="FFFFFF"/>
                <w:sz w:val="16"/>
              </w:rPr>
              <w:t>Operation</w:t>
            </w:r>
          </w:p>
        </w:tc>
        <w:tc>
          <w:tcPr>
            <w:tcW w:w="8640" w:type="dxa"/>
            <w:shd w:val="clear" w:color="auto" w:fill="173A5E"/>
            <w:vAlign w:val="center"/>
          </w:tcPr>
          <w:p w14:paraId="08BF8C38" w14:textId="77777777" w:rsidR="00DA2522" w:rsidRDefault="00000000">
            <w:r>
              <w:rPr>
                <w:b/>
                <w:color w:val="FFFFFF"/>
                <w:sz w:val="16"/>
              </w:rPr>
              <w:t>Governance sequence</w:t>
            </w:r>
          </w:p>
        </w:tc>
      </w:tr>
      <w:tr w:rsidR="00DA2522" w14:paraId="05F22E52" w14:textId="77777777">
        <w:trPr>
          <w:jc w:val="center"/>
        </w:trPr>
        <w:tc>
          <w:tcPr>
            <w:tcW w:w="1728" w:type="dxa"/>
            <w:vAlign w:val="center"/>
          </w:tcPr>
          <w:p w14:paraId="50DDE701" w14:textId="77777777" w:rsidR="00DA2522" w:rsidRDefault="00000000">
            <w:r>
              <w:rPr>
                <w:sz w:val="16"/>
              </w:rPr>
              <w:t>WRITE</w:t>
            </w:r>
          </w:p>
        </w:tc>
        <w:tc>
          <w:tcPr>
            <w:tcW w:w="8640" w:type="dxa"/>
            <w:vAlign w:val="center"/>
          </w:tcPr>
          <w:p w14:paraId="6BF3E056" w14:textId="77777777" w:rsidR="00DA2522" w:rsidRDefault="00000000">
            <w:r>
              <w:rPr>
                <w:sz w:val="16"/>
              </w:rPr>
              <w:t>Purpose/legal-basis check → sensitivity/inference classification → information-barrier/namespace authorization → minimisation → retention assignment → provider/region check → persist + lineage + audit.</w:t>
            </w:r>
          </w:p>
        </w:tc>
      </w:tr>
      <w:tr w:rsidR="00DA2522" w14:paraId="73C5AD89" w14:textId="77777777">
        <w:trPr>
          <w:jc w:val="center"/>
        </w:trPr>
        <w:tc>
          <w:tcPr>
            <w:tcW w:w="1728" w:type="dxa"/>
            <w:shd w:val="clear" w:color="auto" w:fill="F3F6F9"/>
            <w:vAlign w:val="center"/>
          </w:tcPr>
          <w:p w14:paraId="36E7A2A2" w14:textId="77777777" w:rsidR="00DA2522" w:rsidRDefault="00000000">
            <w:r>
              <w:rPr>
                <w:sz w:val="16"/>
              </w:rPr>
              <w:t>READ</w:t>
            </w:r>
          </w:p>
        </w:tc>
        <w:tc>
          <w:tcPr>
            <w:tcW w:w="8640" w:type="dxa"/>
            <w:shd w:val="clear" w:color="auto" w:fill="F3F6F9"/>
            <w:vAlign w:val="center"/>
          </w:tcPr>
          <w:p w14:paraId="6F56E615" w14:textId="77777777" w:rsidR="00DA2522" w:rsidRDefault="00000000">
            <w:r>
              <w:rPr>
                <w:sz w:val="16"/>
              </w:rPr>
              <w:t>Identity/tenant authorization → purpose and information-barrier filter → lifecycle/validity check → semantic/graph retrieval → source/trust ranking → return only authorized context.</w:t>
            </w:r>
          </w:p>
        </w:tc>
      </w:tr>
      <w:tr w:rsidR="00DA2522" w14:paraId="1B561F7E" w14:textId="77777777">
        <w:trPr>
          <w:jc w:val="center"/>
        </w:trPr>
        <w:tc>
          <w:tcPr>
            <w:tcW w:w="1728" w:type="dxa"/>
            <w:vAlign w:val="center"/>
          </w:tcPr>
          <w:p w14:paraId="019F4EFE" w14:textId="77777777" w:rsidR="00DA2522" w:rsidRDefault="00000000">
            <w:r>
              <w:rPr>
                <w:sz w:val="16"/>
              </w:rPr>
              <w:t>UPDATE</w:t>
            </w:r>
          </w:p>
        </w:tc>
        <w:tc>
          <w:tcPr>
            <w:tcW w:w="8640" w:type="dxa"/>
            <w:vAlign w:val="center"/>
          </w:tcPr>
          <w:p w14:paraId="57A6213E" w14:textId="77777777" w:rsidR="00DA2522" w:rsidRDefault="00000000">
            <w:r>
              <w:rPr>
                <w:sz w:val="16"/>
              </w:rPr>
              <w:t>Evaluate new evidence → source-authority comparison → contradiction detection → merge/supersede/dispute → preserve history and lineage → recompute dependent artifacts as needed.</w:t>
            </w:r>
          </w:p>
        </w:tc>
      </w:tr>
      <w:tr w:rsidR="00DA2522" w14:paraId="1A34FE9F" w14:textId="77777777">
        <w:trPr>
          <w:jc w:val="center"/>
        </w:trPr>
        <w:tc>
          <w:tcPr>
            <w:tcW w:w="1728" w:type="dxa"/>
            <w:shd w:val="clear" w:color="auto" w:fill="F3F6F9"/>
            <w:vAlign w:val="center"/>
          </w:tcPr>
          <w:p w14:paraId="5202ED27" w14:textId="77777777" w:rsidR="00DA2522" w:rsidRDefault="00000000">
            <w:r>
              <w:rPr>
                <w:sz w:val="16"/>
              </w:rPr>
              <w:t>RESTRICT</w:t>
            </w:r>
          </w:p>
        </w:tc>
        <w:tc>
          <w:tcPr>
            <w:tcW w:w="8640" w:type="dxa"/>
            <w:shd w:val="clear" w:color="auto" w:fill="F3F6F9"/>
            <w:vAlign w:val="center"/>
          </w:tcPr>
          <w:p w14:paraId="5550DCD7" w14:textId="77777777" w:rsidR="00DA2522" w:rsidRDefault="00000000">
            <w:r>
              <w:rPr>
                <w:sz w:val="16"/>
              </w:rPr>
              <w:t>Retain where permitted/required but exclude from ordinary retrieval/use; record reason and review trigger.</w:t>
            </w:r>
          </w:p>
        </w:tc>
      </w:tr>
      <w:tr w:rsidR="00DA2522" w14:paraId="03C01328" w14:textId="77777777">
        <w:trPr>
          <w:jc w:val="center"/>
        </w:trPr>
        <w:tc>
          <w:tcPr>
            <w:tcW w:w="1728" w:type="dxa"/>
            <w:vAlign w:val="center"/>
          </w:tcPr>
          <w:p w14:paraId="7E18DD6B" w14:textId="77777777" w:rsidR="00DA2522" w:rsidRDefault="00000000">
            <w:r>
              <w:rPr>
                <w:sz w:val="16"/>
              </w:rPr>
              <w:t>CORRECT</w:t>
            </w:r>
          </w:p>
        </w:tc>
        <w:tc>
          <w:tcPr>
            <w:tcW w:w="8640" w:type="dxa"/>
            <w:vAlign w:val="center"/>
          </w:tcPr>
          <w:p w14:paraId="1AF352E6" w14:textId="77777777" w:rsidR="00DA2522" w:rsidRDefault="00000000">
            <w:r>
              <w:rPr>
                <w:sz w:val="16"/>
              </w:rPr>
              <w:t>Update authoritative fact → traverse dependencies → rectify/recompute summaries/edges/embeddings → notify relevant downstream recipients where required → audit.</w:t>
            </w:r>
          </w:p>
        </w:tc>
      </w:tr>
      <w:tr w:rsidR="00DA2522" w14:paraId="63C93657" w14:textId="77777777">
        <w:trPr>
          <w:jc w:val="center"/>
        </w:trPr>
        <w:tc>
          <w:tcPr>
            <w:tcW w:w="1728" w:type="dxa"/>
            <w:shd w:val="clear" w:color="auto" w:fill="F3F6F9"/>
            <w:vAlign w:val="center"/>
          </w:tcPr>
          <w:p w14:paraId="7AAB9196" w14:textId="77777777" w:rsidR="00DA2522" w:rsidRDefault="00000000">
            <w:r>
              <w:rPr>
                <w:sz w:val="16"/>
              </w:rPr>
              <w:t>DELETE</w:t>
            </w:r>
          </w:p>
        </w:tc>
        <w:tc>
          <w:tcPr>
            <w:tcW w:w="8640" w:type="dxa"/>
            <w:shd w:val="clear" w:color="auto" w:fill="F3F6F9"/>
            <w:vAlign w:val="center"/>
          </w:tcPr>
          <w:p w14:paraId="22FD2034" w14:textId="77777777" w:rsidR="00DA2522" w:rsidRDefault="00000000">
            <w:r>
              <w:rPr>
                <w:sz w:val="16"/>
              </w:rPr>
              <w:t>Check legal hold/retention exception → dependency traversal → erase/recompute → invalidate index/cache/replicas → handle backups → verify → issue deletion receipt.</w:t>
            </w:r>
          </w:p>
        </w:tc>
      </w:tr>
      <w:tr w:rsidR="00DA2522" w14:paraId="77B28451" w14:textId="77777777">
        <w:trPr>
          <w:jc w:val="center"/>
        </w:trPr>
        <w:tc>
          <w:tcPr>
            <w:tcW w:w="1728" w:type="dxa"/>
            <w:vAlign w:val="center"/>
          </w:tcPr>
          <w:p w14:paraId="3936A470" w14:textId="77777777" w:rsidR="00DA2522" w:rsidRDefault="00000000">
            <w:r>
              <w:rPr>
                <w:sz w:val="16"/>
              </w:rPr>
              <w:t>EXPORT</w:t>
            </w:r>
          </w:p>
        </w:tc>
        <w:tc>
          <w:tcPr>
            <w:tcW w:w="8640" w:type="dxa"/>
            <w:vAlign w:val="center"/>
          </w:tcPr>
          <w:p w14:paraId="004F27B2" w14:textId="77777777" w:rsidR="00DA2522" w:rsidRDefault="00000000">
            <w:r>
              <w:rPr>
                <w:sz w:val="16"/>
              </w:rPr>
              <w:t>Discover subject-related memory across representations → apply authorization/redaction → provide structured export and lineage where appropriate.</w:t>
            </w:r>
          </w:p>
        </w:tc>
      </w:tr>
      <w:tr w:rsidR="00DA2522" w14:paraId="5E0E9826" w14:textId="77777777">
        <w:trPr>
          <w:jc w:val="center"/>
        </w:trPr>
        <w:tc>
          <w:tcPr>
            <w:tcW w:w="1728" w:type="dxa"/>
            <w:shd w:val="clear" w:color="auto" w:fill="F3F6F9"/>
            <w:vAlign w:val="center"/>
          </w:tcPr>
          <w:p w14:paraId="168B2186" w14:textId="77777777" w:rsidR="00DA2522" w:rsidRDefault="00000000">
            <w:r>
              <w:rPr>
                <w:sz w:val="16"/>
              </w:rPr>
              <w:t>PROMOTE</w:t>
            </w:r>
          </w:p>
        </w:tc>
        <w:tc>
          <w:tcPr>
            <w:tcW w:w="8640" w:type="dxa"/>
            <w:shd w:val="clear" w:color="auto" w:fill="F3F6F9"/>
            <w:vAlign w:val="center"/>
          </w:tcPr>
          <w:p w14:paraId="7291CA66" w14:textId="77777777" w:rsidR="00DA2522" w:rsidRDefault="00000000">
            <w:r>
              <w:rPr>
                <w:sz w:val="16"/>
              </w:rPr>
              <w:t>Episode → semantic fact → procedure/skill only after utility, trust, source authority, policy and validation gates; promotion should be reversible.</w:t>
            </w:r>
          </w:p>
        </w:tc>
      </w:tr>
    </w:tbl>
    <w:p w14:paraId="70EFD5A0" w14:textId="77777777" w:rsidR="00DA2522" w:rsidRDefault="00DA2522">
      <w:pPr>
        <w:spacing w:after="0"/>
      </w:pPr>
    </w:p>
    <w:p w14:paraId="3BE34393" w14:textId="77777777" w:rsidR="00DA2522" w:rsidRDefault="00000000">
      <w:pPr>
        <w:pStyle w:val="Heading2"/>
      </w:pPr>
      <w:r>
        <w:t>11.1 State-machine rules</w:t>
      </w:r>
    </w:p>
    <w:p w14:paraId="18A44030" w14:textId="77777777" w:rsidR="00DA2522" w:rsidRDefault="00000000">
      <w:pPr>
        <w:spacing w:after="100" w:line="252" w:lineRule="auto"/>
      </w:pPr>
      <w:r>
        <w:t>The lifecycle states above need an explicit transition matrix. The specification should define, for each transition, who may trigger it, whether it requires dual control, what it does to dependent memories, and any service-level expectation. Design-review recommendations:</w:t>
      </w:r>
    </w:p>
    <w:p w14:paraId="703F267C" w14:textId="77777777" w:rsidR="00DA2522" w:rsidRDefault="00000000">
      <w:pPr>
        <w:pStyle w:val="ListBullet"/>
        <w:spacing w:after="60"/>
      </w:pPr>
      <w:r>
        <w:rPr>
          <w:b/>
        </w:rPr>
        <w:t xml:space="preserve">Two additional states. </w:t>
      </w:r>
      <w:r>
        <w:t>QUARANTINED — suspected poisoning or integrity failure detected by C6/C10, distinct from DISPUTED (accuracy contested by the data subject or an authoritative source); and PENDING_VERIFICATION — inferred or promoted memory that may be retrieved for review but must not influence a decision until verified. Both suppress ordinary use while preserving evidence.</w:t>
      </w:r>
    </w:p>
    <w:p w14:paraId="41B453F7" w14:textId="77777777" w:rsidR="00DA2522" w:rsidRDefault="00000000">
      <w:pPr>
        <w:pStyle w:val="ListBullet"/>
        <w:spacing w:after="60"/>
      </w:pPr>
      <w:r>
        <w:rPr>
          <w:b/>
        </w:rPr>
        <w:lastRenderedPageBreak/>
        <w:t xml:space="preserve">Restrictive inheritance. </w:t>
      </w:r>
      <w:r>
        <w:t>A derived memory inherits the most restrictive lifecycle state of any parent automatically at the moment the parent changes, not via a scheduled traversal. RESTRICTED, HELD, QUARANTINED and DELETED propagate down; ACTIVE never propagates up.</w:t>
      </w:r>
    </w:p>
    <w:p w14:paraId="3E05FA61" w14:textId="77777777" w:rsidR="00DA2522" w:rsidRDefault="00000000">
      <w:pPr>
        <w:pStyle w:val="ListBullet"/>
        <w:spacing w:after="60"/>
      </w:pPr>
      <w:r>
        <w:rPr>
          <w:b/>
        </w:rPr>
        <w:t xml:space="preserve">Dual control on high-consequence transitions. </w:t>
      </w:r>
      <w:r>
        <w:t>Releasing a legal hold (HELD → any), reactivating a RESTRICTED or QUARANTINED memory, and promoting to a procedure/skill should require two authorised roles, with the second reviewer recorded in the audit trail.</w:t>
      </w:r>
    </w:p>
    <w:p w14:paraId="0663384E" w14:textId="77777777" w:rsidR="00DA2522" w:rsidRDefault="00000000">
      <w:pPr>
        <w:pStyle w:val="ListBullet"/>
        <w:spacing w:after="60"/>
      </w:pPr>
      <w:r>
        <w:rPr>
          <w:b/>
        </w:rPr>
        <w:t xml:space="preserve">Dispute handling. </w:t>
      </w:r>
      <w:r>
        <w:t>DISPUTED should carry an owner and a resolution deadline; unresolved disputes should default to RESTRICTED at expiry rather than silently returning to ACTIVE.</w:t>
      </w:r>
    </w:p>
    <w:p w14:paraId="2773AC61" w14:textId="77777777" w:rsidR="00DA2522" w:rsidRDefault="00000000">
      <w:pPr>
        <w:pStyle w:val="ListBullet"/>
        <w:spacing w:after="60"/>
      </w:pPr>
      <w:r>
        <w:rPr>
          <w:b/>
        </w:rPr>
        <w:t xml:space="preserve">Terminal semantics. </w:t>
      </w:r>
      <w:r>
        <w:t>DELETED is terminal for the record identity; a re-learned fact is a new record with new lineage, never a resurrection.</w:t>
      </w:r>
    </w:p>
    <w:p w14:paraId="1BA8C6E1" w14:textId="77777777" w:rsidR="00DA2522" w:rsidRDefault="00000000">
      <w:pPr>
        <w:pStyle w:val="Heading1"/>
      </w:pPr>
      <w:r>
        <w:t>12. Unified Control Framework</w:t>
      </w:r>
    </w:p>
    <w:p w14:paraId="34E25DB6" w14:textId="77777777" w:rsidR="00DA2522" w:rsidRDefault="00000000">
      <w:pPr>
        <w:spacing w:after="100" w:line="252" w:lineRule="auto"/>
      </w:pPr>
      <w:r>
        <w:t>The following control catalog consolidates our discussion into a platform-level specification. “P0” means foundational control expected before production use of persistent enterprise memory; “P1” means near-term maturity; “P2” means advanced/research-stage capability. The regulatory references are converging rationales, not assertions that every cited provision independently mandates the exact engineering implementation.</w:t>
      </w:r>
    </w:p>
    <w:tbl>
      <w:tblPr>
        <w:tblStyle w:val="TableGrid"/>
        <w:tblW w:w="0" w:type="auto"/>
        <w:jc w:val="center"/>
        <w:tblLook w:val="04A0" w:firstRow="1" w:lastRow="0" w:firstColumn="1" w:lastColumn="0" w:noHBand="0" w:noVBand="1"/>
      </w:tblPr>
      <w:tblGrid>
        <w:gridCol w:w="634"/>
        <w:gridCol w:w="2035"/>
        <w:gridCol w:w="636"/>
        <w:gridCol w:w="3896"/>
        <w:gridCol w:w="2951"/>
      </w:tblGrid>
      <w:tr w:rsidR="00DA2522" w14:paraId="366D31FA" w14:textId="77777777">
        <w:trPr>
          <w:jc w:val="center"/>
        </w:trPr>
        <w:tc>
          <w:tcPr>
            <w:tcW w:w="648" w:type="dxa"/>
            <w:shd w:val="clear" w:color="auto" w:fill="173A5E"/>
            <w:vAlign w:val="center"/>
          </w:tcPr>
          <w:p w14:paraId="6B31DCE4" w14:textId="77777777" w:rsidR="00DA2522" w:rsidRDefault="00000000">
            <w:r>
              <w:rPr>
                <w:b/>
                <w:color w:val="FFFFFF"/>
                <w:sz w:val="14"/>
              </w:rPr>
              <w:t>ID</w:t>
            </w:r>
          </w:p>
        </w:tc>
        <w:tc>
          <w:tcPr>
            <w:tcW w:w="2088" w:type="dxa"/>
            <w:shd w:val="clear" w:color="auto" w:fill="173A5E"/>
            <w:vAlign w:val="center"/>
          </w:tcPr>
          <w:p w14:paraId="72F4057F" w14:textId="77777777" w:rsidR="00DA2522" w:rsidRDefault="00000000">
            <w:r>
              <w:rPr>
                <w:b/>
                <w:color w:val="FFFFFF"/>
                <w:sz w:val="14"/>
              </w:rPr>
              <w:t>Control</w:t>
            </w:r>
          </w:p>
        </w:tc>
        <w:tc>
          <w:tcPr>
            <w:tcW w:w="648" w:type="dxa"/>
            <w:shd w:val="clear" w:color="auto" w:fill="173A5E"/>
            <w:vAlign w:val="center"/>
          </w:tcPr>
          <w:p w14:paraId="1683BDEB" w14:textId="77777777" w:rsidR="00DA2522" w:rsidRDefault="00000000">
            <w:r>
              <w:rPr>
                <w:b/>
                <w:color w:val="FFFFFF"/>
                <w:sz w:val="14"/>
              </w:rPr>
              <w:t>Pri.</w:t>
            </w:r>
          </w:p>
        </w:tc>
        <w:tc>
          <w:tcPr>
            <w:tcW w:w="3960" w:type="dxa"/>
            <w:shd w:val="clear" w:color="auto" w:fill="173A5E"/>
            <w:vAlign w:val="center"/>
          </w:tcPr>
          <w:p w14:paraId="57199FAF" w14:textId="77777777" w:rsidR="00DA2522" w:rsidRDefault="00000000">
            <w:r>
              <w:rPr>
                <w:b/>
                <w:color w:val="FFFFFF"/>
                <w:sz w:val="14"/>
              </w:rPr>
              <w:t>Control objective</w:t>
            </w:r>
          </w:p>
        </w:tc>
        <w:tc>
          <w:tcPr>
            <w:tcW w:w="3024" w:type="dxa"/>
            <w:shd w:val="clear" w:color="auto" w:fill="173A5E"/>
            <w:vAlign w:val="center"/>
          </w:tcPr>
          <w:p w14:paraId="0D0FE913" w14:textId="77777777" w:rsidR="00DA2522" w:rsidRDefault="00000000">
            <w:r>
              <w:rPr>
                <w:b/>
                <w:color w:val="FFFFFF"/>
                <w:sz w:val="14"/>
              </w:rPr>
              <w:t>Converging basis</w:t>
            </w:r>
          </w:p>
        </w:tc>
      </w:tr>
      <w:tr w:rsidR="00DA2522" w14:paraId="00A6ABF5" w14:textId="77777777">
        <w:trPr>
          <w:jc w:val="center"/>
        </w:trPr>
        <w:tc>
          <w:tcPr>
            <w:tcW w:w="648" w:type="dxa"/>
            <w:vAlign w:val="center"/>
          </w:tcPr>
          <w:p w14:paraId="162326E1" w14:textId="77777777" w:rsidR="00DA2522" w:rsidRDefault="00000000">
            <w:r>
              <w:rPr>
                <w:sz w:val="14"/>
              </w:rPr>
              <w:t>C1</w:t>
            </w:r>
          </w:p>
        </w:tc>
        <w:tc>
          <w:tcPr>
            <w:tcW w:w="2088" w:type="dxa"/>
            <w:vAlign w:val="center"/>
          </w:tcPr>
          <w:p w14:paraId="5D973E28" w14:textId="77777777" w:rsidR="00DA2522" w:rsidRDefault="00000000">
            <w:r>
              <w:rPr>
                <w:sz w:val="14"/>
              </w:rPr>
              <w:t>Lineage &amp; provenance</w:t>
            </w:r>
          </w:p>
        </w:tc>
        <w:tc>
          <w:tcPr>
            <w:tcW w:w="648" w:type="dxa"/>
            <w:vAlign w:val="center"/>
          </w:tcPr>
          <w:p w14:paraId="0E387C1F" w14:textId="77777777" w:rsidR="00DA2522" w:rsidRDefault="00000000">
            <w:r>
              <w:rPr>
                <w:sz w:val="14"/>
              </w:rPr>
              <w:t>P0</w:t>
            </w:r>
          </w:p>
        </w:tc>
        <w:tc>
          <w:tcPr>
            <w:tcW w:w="3960" w:type="dxa"/>
            <w:vAlign w:val="center"/>
          </w:tcPr>
          <w:p w14:paraId="27FE60D8" w14:textId="77777777" w:rsidR="00DA2522" w:rsidRDefault="00000000">
            <w:r>
              <w:rPr>
                <w:sz w:val="14"/>
              </w:rPr>
              <w:t>Every persisted/derived memory can be traced to source evidence and transformations.</w:t>
            </w:r>
          </w:p>
        </w:tc>
        <w:tc>
          <w:tcPr>
            <w:tcW w:w="3024" w:type="dxa"/>
            <w:vAlign w:val="center"/>
          </w:tcPr>
          <w:p w14:paraId="64D5FF0E" w14:textId="77777777" w:rsidR="00DA2522" w:rsidRDefault="00000000">
            <w:r>
              <w:rPr>
                <w:sz w:val="14"/>
              </w:rPr>
              <w:t>GDPR accuracy/accountability; AI Act data governance/docs; FS AI RMF.</w:t>
            </w:r>
          </w:p>
        </w:tc>
      </w:tr>
      <w:tr w:rsidR="00DA2522" w14:paraId="214615BE" w14:textId="77777777">
        <w:trPr>
          <w:jc w:val="center"/>
        </w:trPr>
        <w:tc>
          <w:tcPr>
            <w:tcW w:w="648" w:type="dxa"/>
            <w:shd w:val="clear" w:color="auto" w:fill="F3F6F9"/>
            <w:vAlign w:val="center"/>
          </w:tcPr>
          <w:p w14:paraId="151F90C0" w14:textId="77777777" w:rsidR="00DA2522" w:rsidRDefault="00000000">
            <w:r>
              <w:rPr>
                <w:sz w:val="14"/>
              </w:rPr>
              <w:t>C2</w:t>
            </w:r>
          </w:p>
        </w:tc>
        <w:tc>
          <w:tcPr>
            <w:tcW w:w="2088" w:type="dxa"/>
            <w:shd w:val="clear" w:color="auto" w:fill="F3F6F9"/>
            <w:vAlign w:val="center"/>
          </w:tcPr>
          <w:p w14:paraId="7700D8CF" w14:textId="77777777" w:rsidR="00DA2522" w:rsidRDefault="00000000">
            <w:r>
              <w:rPr>
                <w:sz w:val="14"/>
              </w:rPr>
              <w:t>End-to-end erasure propagation</w:t>
            </w:r>
          </w:p>
        </w:tc>
        <w:tc>
          <w:tcPr>
            <w:tcW w:w="648" w:type="dxa"/>
            <w:shd w:val="clear" w:color="auto" w:fill="F3F6F9"/>
            <w:vAlign w:val="center"/>
          </w:tcPr>
          <w:p w14:paraId="768A7857" w14:textId="77777777" w:rsidR="00DA2522" w:rsidRDefault="00000000">
            <w:r>
              <w:rPr>
                <w:sz w:val="14"/>
              </w:rPr>
              <w:t>P0</w:t>
            </w:r>
          </w:p>
        </w:tc>
        <w:tc>
          <w:tcPr>
            <w:tcW w:w="3960" w:type="dxa"/>
            <w:shd w:val="clear" w:color="auto" w:fill="F3F6F9"/>
            <w:vAlign w:val="center"/>
          </w:tcPr>
          <w:p w14:paraId="3937A2DC" w14:textId="77777777" w:rsidR="00DA2522" w:rsidRDefault="00000000">
            <w:r>
              <w:rPr>
                <w:sz w:val="14"/>
              </w:rPr>
              <w:t>Erase/recompute across episode, graph, vector, summary, cache, replicas; verify completion.</w:t>
            </w:r>
          </w:p>
        </w:tc>
        <w:tc>
          <w:tcPr>
            <w:tcW w:w="3024" w:type="dxa"/>
            <w:shd w:val="clear" w:color="auto" w:fill="F3F6F9"/>
            <w:vAlign w:val="center"/>
          </w:tcPr>
          <w:p w14:paraId="266F9223" w14:textId="77777777" w:rsidR="00DA2522" w:rsidRDefault="00000000">
            <w:r>
              <w:rPr>
                <w:sz w:val="14"/>
              </w:rPr>
              <w:t>GDPR Art. 17/19; privacy-by-design.</w:t>
            </w:r>
          </w:p>
        </w:tc>
      </w:tr>
      <w:tr w:rsidR="00DA2522" w14:paraId="4CA96DC6" w14:textId="77777777">
        <w:trPr>
          <w:jc w:val="center"/>
        </w:trPr>
        <w:tc>
          <w:tcPr>
            <w:tcW w:w="648" w:type="dxa"/>
            <w:vAlign w:val="center"/>
          </w:tcPr>
          <w:p w14:paraId="18BCE960" w14:textId="77777777" w:rsidR="00DA2522" w:rsidRDefault="00000000">
            <w:r>
              <w:rPr>
                <w:sz w:val="14"/>
              </w:rPr>
              <w:t>C3</w:t>
            </w:r>
          </w:p>
        </w:tc>
        <w:tc>
          <w:tcPr>
            <w:tcW w:w="2088" w:type="dxa"/>
            <w:vAlign w:val="center"/>
          </w:tcPr>
          <w:p w14:paraId="2251C911" w14:textId="77777777" w:rsidR="00DA2522" w:rsidRDefault="00000000">
            <w:r>
              <w:rPr>
                <w:sz w:val="14"/>
              </w:rPr>
              <w:t>Tamper-evident memory audit trail</w:t>
            </w:r>
          </w:p>
        </w:tc>
        <w:tc>
          <w:tcPr>
            <w:tcW w:w="648" w:type="dxa"/>
            <w:vAlign w:val="center"/>
          </w:tcPr>
          <w:p w14:paraId="369B45B4" w14:textId="77777777" w:rsidR="00DA2522" w:rsidRDefault="00000000">
            <w:r>
              <w:rPr>
                <w:sz w:val="14"/>
              </w:rPr>
              <w:t>P0</w:t>
            </w:r>
          </w:p>
        </w:tc>
        <w:tc>
          <w:tcPr>
            <w:tcW w:w="3960" w:type="dxa"/>
            <w:vAlign w:val="center"/>
          </w:tcPr>
          <w:p w14:paraId="7DCDCA87" w14:textId="77777777" w:rsidR="00DA2522" w:rsidRDefault="00000000">
            <w:r>
              <w:rPr>
                <w:sz w:val="14"/>
              </w:rPr>
              <w:t>Reconstruct writes, reads, changes, restrictions, deletion, policy/model/version decisions without creating a shadow memory store.</w:t>
            </w:r>
          </w:p>
        </w:tc>
        <w:tc>
          <w:tcPr>
            <w:tcW w:w="3024" w:type="dxa"/>
            <w:vAlign w:val="center"/>
          </w:tcPr>
          <w:p w14:paraId="5ADF8977" w14:textId="77777777" w:rsidR="00DA2522" w:rsidRDefault="00000000">
            <w:r>
              <w:rPr>
                <w:sz w:val="14"/>
              </w:rPr>
              <w:t>AI Act logging where applicable; Reg S-P records; FS AI RMF.</w:t>
            </w:r>
          </w:p>
        </w:tc>
      </w:tr>
      <w:tr w:rsidR="00DA2522" w14:paraId="1938F108" w14:textId="77777777">
        <w:trPr>
          <w:jc w:val="center"/>
        </w:trPr>
        <w:tc>
          <w:tcPr>
            <w:tcW w:w="648" w:type="dxa"/>
            <w:shd w:val="clear" w:color="auto" w:fill="F3F6F9"/>
            <w:vAlign w:val="center"/>
          </w:tcPr>
          <w:p w14:paraId="1AE53314" w14:textId="77777777" w:rsidR="00DA2522" w:rsidRDefault="00000000">
            <w:r>
              <w:rPr>
                <w:sz w:val="14"/>
              </w:rPr>
              <w:t>C4</w:t>
            </w:r>
          </w:p>
        </w:tc>
        <w:tc>
          <w:tcPr>
            <w:tcW w:w="2088" w:type="dxa"/>
            <w:shd w:val="clear" w:color="auto" w:fill="F3F6F9"/>
            <w:vAlign w:val="center"/>
          </w:tcPr>
          <w:p w14:paraId="65E53A30" w14:textId="77777777" w:rsidR="00DA2522" w:rsidRDefault="00000000">
            <w:r>
              <w:rPr>
                <w:sz w:val="14"/>
              </w:rPr>
              <w:t>Decision-significance human oversight</w:t>
            </w:r>
          </w:p>
        </w:tc>
        <w:tc>
          <w:tcPr>
            <w:tcW w:w="648" w:type="dxa"/>
            <w:shd w:val="clear" w:color="auto" w:fill="F3F6F9"/>
            <w:vAlign w:val="center"/>
          </w:tcPr>
          <w:p w14:paraId="25F63EEC" w14:textId="77777777" w:rsidR="00DA2522" w:rsidRDefault="00000000">
            <w:r>
              <w:rPr>
                <w:sz w:val="14"/>
              </w:rPr>
              <w:t>P1</w:t>
            </w:r>
          </w:p>
        </w:tc>
        <w:tc>
          <w:tcPr>
            <w:tcW w:w="3960" w:type="dxa"/>
            <w:shd w:val="clear" w:color="auto" w:fill="F3F6F9"/>
            <w:vAlign w:val="center"/>
          </w:tcPr>
          <w:p w14:paraId="72D8A465" w14:textId="77777777" w:rsidR="00DA2522" w:rsidRDefault="00000000">
            <w:r>
              <w:rPr>
                <w:sz w:val="14"/>
              </w:rPr>
              <w:t>Human review/escalation proportional to downstream decision significance and applicable law.</w:t>
            </w:r>
          </w:p>
        </w:tc>
        <w:tc>
          <w:tcPr>
            <w:tcW w:w="3024" w:type="dxa"/>
            <w:shd w:val="clear" w:color="auto" w:fill="F3F6F9"/>
            <w:vAlign w:val="center"/>
          </w:tcPr>
          <w:p w14:paraId="7C27AD86" w14:textId="77777777" w:rsidR="00DA2522" w:rsidRDefault="00000000">
            <w:r>
              <w:rPr>
                <w:sz w:val="14"/>
              </w:rPr>
              <w:t>GDPR Art. 22 where applicable; AI Act Art. 14.</w:t>
            </w:r>
          </w:p>
        </w:tc>
      </w:tr>
      <w:tr w:rsidR="00DA2522" w14:paraId="0BE1ACB7" w14:textId="77777777">
        <w:trPr>
          <w:jc w:val="center"/>
        </w:trPr>
        <w:tc>
          <w:tcPr>
            <w:tcW w:w="648" w:type="dxa"/>
            <w:vAlign w:val="center"/>
          </w:tcPr>
          <w:p w14:paraId="3883836B" w14:textId="77777777" w:rsidR="00DA2522" w:rsidRDefault="00000000">
            <w:r>
              <w:rPr>
                <w:sz w:val="14"/>
              </w:rPr>
              <w:t>C5</w:t>
            </w:r>
          </w:p>
        </w:tc>
        <w:tc>
          <w:tcPr>
            <w:tcW w:w="2088" w:type="dxa"/>
            <w:vAlign w:val="center"/>
          </w:tcPr>
          <w:p w14:paraId="28556C99" w14:textId="77777777" w:rsidR="00DA2522" w:rsidRDefault="00000000">
            <w:r>
              <w:rPr>
                <w:sz w:val="14"/>
              </w:rPr>
              <w:t>Continuous OSS/vendor governance</w:t>
            </w:r>
          </w:p>
        </w:tc>
        <w:tc>
          <w:tcPr>
            <w:tcW w:w="648" w:type="dxa"/>
            <w:vAlign w:val="center"/>
          </w:tcPr>
          <w:p w14:paraId="7034036B" w14:textId="77777777" w:rsidR="00DA2522" w:rsidRDefault="00000000">
            <w:r>
              <w:rPr>
                <w:sz w:val="14"/>
              </w:rPr>
              <w:t>P0</w:t>
            </w:r>
          </w:p>
        </w:tc>
        <w:tc>
          <w:tcPr>
            <w:tcW w:w="3960" w:type="dxa"/>
            <w:vAlign w:val="center"/>
          </w:tcPr>
          <w:p w14:paraId="167417E9" w14:textId="77777777" w:rsidR="00DA2522" w:rsidRDefault="00000000">
            <w:r>
              <w:rPr>
                <w:sz w:val="14"/>
              </w:rPr>
              <w:t>SBOM, license, CVEs, version pinning, dependency scanning, patch SLA, upgrade tests, rollback.</w:t>
            </w:r>
          </w:p>
        </w:tc>
        <w:tc>
          <w:tcPr>
            <w:tcW w:w="3024" w:type="dxa"/>
            <w:vAlign w:val="center"/>
          </w:tcPr>
          <w:p w14:paraId="7EC5F8AB" w14:textId="77777777" w:rsidR="00DA2522" w:rsidRDefault="00000000">
            <w:r>
              <w:rPr>
                <w:sz w:val="14"/>
              </w:rPr>
              <w:t>Reg S-P/third-party risk; DORA analogues; NIST secure development.</w:t>
            </w:r>
          </w:p>
        </w:tc>
      </w:tr>
      <w:tr w:rsidR="00DA2522" w14:paraId="1C30206A" w14:textId="77777777">
        <w:trPr>
          <w:jc w:val="center"/>
        </w:trPr>
        <w:tc>
          <w:tcPr>
            <w:tcW w:w="648" w:type="dxa"/>
            <w:shd w:val="clear" w:color="auto" w:fill="F3F6F9"/>
            <w:vAlign w:val="center"/>
          </w:tcPr>
          <w:p w14:paraId="6BAB8DDE" w14:textId="77777777" w:rsidR="00DA2522" w:rsidRDefault="00000000">
            <w:r>
              <w:rPr>
                <w:sz w:val="14"/>
              </w:rPr>
              <w:t>C6</w:t>
            </w:r>
          </w:p>
        </w:tc>
        <w:tc>
          <w:tcPr>
            <w:tcW w:w="2088" w:type="dxa"/>
            <w:shd w:val="clear" w:color="auto" w:fill="F3F6F9"/>
            <w:vAlign w:val="center"/>
          </w:tcPr>
          <w:p w14:paraId="2F6E6FFE" w14:textId="77777777" w:rsidR="00DA2522" w:rsidRDefault="00000000">
            <w:r>
              <w:rPr>
                <w:sz w:val="14"/>
              </w:rPr>
              <w:t>Memory drift &amp; quality monitoring</w:t>
            </w:r>
          </w:p>
        </w:tc>
        <w:tc>
          <w:tcPr>
            <w:tcW w:w="648" w:type="dxa"/>
            <w:shd w:val="clear" w:color="auto" w:fill="F3F6F9"/>
            <w:vAlign w:val="center"/>
          </w:tcPr>
          <w:p w14:paraId="3ACB1DCB" w14:textId="77777777" w:rsidR="00DA2522" w:rsidRDefault="00000000">
            <w:r>
              <w:rPr>
                <w:sz w:val="14"/>
              </w:rPr>
              <w:t>P1</w:t>
            </w:r>
          </w:p>
        </w:tc>
        <w:tc>
          <w:tcPr>
            <w:tcW w:w="3960" w:type="dxa"/>
            <w:shd w:val="clear" w:color="auto" w:fill="F3F6F9"/>
            <w:vAlign w:val="center"/>
          </w:tcPr>
          <w:p w14:paraId="1D42C945" w14:textId="77777777" w:rsidR="00DA2522" w:rsidRDefault="00000000">
            <w:r>
              <w:rPr>
                <w:sz w:val="14"/>
              </w:rPr>
              <w:t>Measure stale, contradictory, unsupported and behaviorally harmful memories over time.</w:t>
            </w:r>
          </w:p>
        </w:tc>
        <w:tc>
          <w:tcPr>
            <w:tcW w:w="3024" w:type="dxa"/>
            <w:shd w:val="clear" w:color="auto" w:fill="F3F6F9"/>
            <w:vAlign w:val="center"/>
          </w:tcPr>
          <w:p w14:paraId="26300B59" w14:textId="77777777" w:rsidR="00DA2522" w:rsidRDefault="00000000">
            <w:r>
              <w:rPr>
                <w:sz w:val="14"/>
              </w:rPr>
              <w:t>FS AI RMF; NIST; AI Act robustness where applicable.</w:t>
            </w:r>
          </w:p>
        </w:tc>
      </w:tr>
      <w:tr w:rsidR="00DA2522" w14:paraId="6DBF851D" w14:textId="77777777">
        <w:trPr>
          <w:jc w:val="center"/>
        </w:trPr>
        <w:tc>
          <w:tcPr>
            <w:tcW w:w="648" w:type="dxa"/>
            <w:vAlign w:val="center"/>
          </w:tcPr>
          <w:p w14:paraId="7D583621" w14:textId="77777777" w:rsidR="00DA2522" w:rsidRDefault="00000000">
            <w:r>
              <w:rPr>
                <w:sz w:val="14"/>
              </w:rPr>
              <w:t>C7</w:t>
            </w:r>
          </w:p>
        </w:tc>
        <w:tc>
          <w:tcPr>
            <w:tcW w:w="2088" w:type="dxa"/>
            <w:vAlign w:val="center"/>
          </w:tcPr>
          <w:p w14:paraId="3C2195F6" w14:textId="77777777" w:rsidR="00DA2522" w:rsidRDefault="00000000">
            <w:r>
              <w:rPr>
                <w:sz w:val="14"/>
              </w:rPr>
              <w:t>Retention + legal-hold resolution</w:t>
            </w:r>
          </w:p>
        </w:tc>
        <w:tc>
          <w:tcPr>
            <w:tcW w:w="648" w:type="dxa"/>
            <w:vAlign w:val="center"/>
          </w:tcPr>
          <w:p w14:paraId="6F82CF83" w14:textId="77777777" w:rsidR="00DA2522" w:rsidRDefault="00000000">
            <w:r>
              <w:rPr>
                <w:sz w:val="14"/>
              </w:rPr>
              <w:t>P0</w:t>
            </w:r>
          </w:p>
        </w:tc>
        <w:tc>
          <w:tcPr>
            <w:tcW w:w="3960" w:type="dxa"/>
            <w:vAlign w:val="center"/>
          </w:tcPr>
          <w:p w14:paraId="085FC9EE" w14:textId="77777777" w:rsidR="00DA2522" w:rsidRDefault="00000000">
            <w:r>
              <w:rPr>
                <w:sz w:val="14"/>
              </w:rPr>
              <w:t>Retention by record type/purpose/entity/jurisdiction/obligation; legal holds override deletion only where legally justified; active use can remain restricted.</w:t>
            </w:r>
          </w:p>
        </w:tc>
        <w:tc>
          <w:tcPr>
            <w:tcW w:w="3024" w:type="dxa"/>
            <w:vAlign w:val="center"/>
          </w:tcPr>
          <w:p w14:paraId="5DD2742B" w14:textId="77777777" w:rsidR="00DA2522" w:rsidRDefault="00000000">
            <w:r>
              <w:rPr>
                <w:sz w:val="14"/>
              </w:rPr>
              <w:t>GDPR storage limitation; adviser recordkeeping.</w:t>
            </w:r>
          </w:p>
        </w:tc>
      </w:tr>
      <w:tr w:rsidR="00DA2522" w14:paraId="57708EC6" w14:textId="77777777">
        <w:trPr>
          <w:jc w:val="center"/>
        </w:trPr>
        <w:tc>
          <w:tcPr>
            <w:tcW w:w="648" w:type="dxa"/>
            <w:shd w:val="clear" w:color="auto" w:fill="F3F6F9"/>
            <w:vAlign w:val="center"/>
          </w:tcPr>
          <w:p w14:paraId="67628E29" w14:textId="77777777" w:rsidR="00DA2522" w:rsidRDefault="00000000">
            <w:r>
              <w:rPr>
                <w:sz w:val="14"/>
              </w:rPr>
              <w:t>C8</w:t>
            </w:r>
          </w:p>
        </w:tc>
        <w:tc>
          <w:tcPr>
            <w:tcW w:w="2088" w:type="dxa"/>
            <w:shd w:val="clear" w:color="auto" w:fill="F3F6F9"/>
            <w:vAlign w:val="center"/>
          </w:tcPr>
          <w:p w14:paraId="4AF4B900" w14:textId="77777777" w:rsidR="00DA2522" w:rsidRDefault="00000000">
            <w:r>
              <w:rPr>
                <w:sz w:val="14"/>
              </w:rPr>
              <w:t>DPIA / AI risk documentation</w:t>
            </w:r>
          </w:p>
        </w:tc>
        <w:tc>
          <w:tcPr>
            <w:tcW w:w="648" w:type="dxa"/>
            <w:shd w:val="clear" w:color="auto" w:fill="F3F6F9"/>
            <w:vAlign w:val="center"/>
          </w:tcPr>
          <w:p w14:paraId="296A0360" w14:textId="77777777" w:rsidR="00DA2522" w:rsidRDefault="00000000">
            <w:r>
              <w:rPr>
                <w:sz w:val="14"/>
              </w:rPr>
              <w:t>P1</w:t>
            </w:r>
          </w:p>
        </w:tc>
        <w:tc>
          <w:tcPr>
            <w:tcW w:w="3960" w:type="dxa"/>
            <w:shd w:val="clear" w:color="auto" w:fill="F3F6F9"/>
            <w:vAlign w:val="center"/>
          </w:tcPr>
          <w:p w14:paraId="63105390" w14:textId="77777777" w:rsidR="00DA2522" w:rsidRDefault="00000000">
            <w:r>
              <w:rPr>
                <w:sz w:val="14"/>
              </w:rPr>
              <w:t>Maintain use-case risk assessment, DPIA where required, technical documentation and change review.</w:t>
            </w:r>
          </w:p>
        </w:tc>
        <w:tc>
          <w:tcPr>
            <w:tcW w:w="3024" w:type="dxa"/>
            <w:shd w:val="clear" w:color="auto" w:fill="F3F6F9"/>
            <w:vAlign w:val="center"/>
          </w:tcPr>
          <w:p w14:paraId="0462A56A" w14:textId="77777777" w:rsidR="00DA2522" w:rsidRDefault="00000000">
            <w:r>
              <w:rPr>
                <w:sz w:val="14"/>
              </w:rPr>
              <w:t>GDPR Art. 35; AI Act where applicable.</w:t>
            </w:r>
          </w:p>
        </w:tc>
      </w:tr>
      <w:tr w:rsidR="00DA2522" w14:paraId="14D706EC" w14:textId="77777777">
        <w:trPr>
          <w:jc w:val="center"/>
        </w:trPr>
        <w:tc>
          <w:tcPr>
            <w:tcW w:w="648" w:type="dxa"/>
            <w:vAlign w:val="center"/>
          </w:tcPr>
          <w:p w14:paraId="142235C6" w14:textId="77777777" w:rsidR="00DA2522" w:rsidRDefault="00000000">
            <w:r>
              <w:rPr>
                <w:sz w:val="14"/>
              </w:rPr>
              <w:t>C9</w:t>
            </w:r>
          </w:p>
        </w:tc>
        <w:tc>
          <w:tcPr>
            <w:tcW w:w="2088" w:type="dxa"/>
            <w:vAlign w:val="center"/>
          </w:tcPr>
          <w:p w14:paraId="7F75995C" w14:textId="77777777" w:rsidR="00DA2522" w:rsidRDefault="00000000">
            <w:r>
              <w:rPr>
                <w:sz w:val="14"/>
              </w:rPr>
              <w:t>Anti-manipulation / personalization guardrails</w:t>
            </w:r>
          </w:p>
        </w:tc>
        <w:tc>
          <w:tcPr>
            <w:tcW w:w="648" w:type="dxa"/>
            <w:vAlign w:val="center"/>
          </w:tcPr>
          <w:p w14:paraId="5D89539C" w14:textId="77777777" w:rsidR="00DA2522" w:rsidRDefault="00000000">
            <w:r>
              <w:rPr>
                <w:sz w:val="14"/>
              </w:rPr>
              <w:t>P1</w:t>
            </w:r>
          </w:p>
        </w:tc>
        <w:tc>
          <w:tcPr>
            <w:tcW w:w="3960" w:type="dxa"/>
            <w:vAlign w:val="center"/>
          </w:tcPr>
          <w:p w14:paraId="785964CE" w14:textId="77777777" w:rsidR="00DA2522" w:rsidRDefault="00000000">
            <w:r>
              <w:rPr>
                <w:sz w:val="14"/>
              </w:rPr>
              <w:t>Prevent memory-driven exploitation/manipulation and inappropriate personalization.</w:t>
            </w:r>
          </w:p>
        </w:tc>
        <w:tc>
          <w:tcPr>
            <w:tcW w:w="3024" w:type="dxa"/>
            <w:vAlign w:val="center"/>
          </w:tcPr>
          <w:p w14:paraId="187D2A93" w14:textId="77777777" w:rsidR="00DA2522" w:rsidRDefault="00000000">
            <w:r>
              <w:rPr>
                <w:sz w:val="14"/>
              </w:rPr>
              <w:t>AI Act Art. 5; fiduciary/conduct obligations as applicable.</w:t>
            </w:r>
          </w:p>
        </w:tc>
      </w:tr>
    </w:tbl>
    <w:p w14:paraId="18314415" w14:textId="77777777" w:rsidR="00DA2522" w:rsidRDefault="00DA2522">
      <w:pPr>
        <w:spacing w:after="0"/>
      </w:pPr>
    </w:p>
    <w:tbl>
      <w:tblPr>
        <w:tblStyle w:val="TableGrid"/>
        <w:tblW w:w="0" w:type="auto"/>
        <w:jc w:val="center"/>
        <w:tblLook w:val="04A0" w:firstRow="1" w:lastRow="0" w:firstColumn="1" w:lastColumn="0" w:noHBand="0" w:noVBand="1"/>
      </w:tblPr>
      <w:tblGrid>
        <w:gridCol w:w="638"/>
        <w:gridCol w:w="2047"/>
        <w:gridCol w:w="637"/>
        <w:gridCol w:w="3894"/>
        <w:gridCol w:w="2936"/>
      </w:tblGrid>
      <w:tr w:rsidR="00DA2522" w14:paraId="2B50DEA3" w14:textId="77777777">
        <w:trPr>
          <w:jc w:val="center"/>
        </w:trPr>
        <w:tc>
          <w:tcPr>
            <w:tcW w:w="648" w:type="dxa"/>
            <w:shd w:val="clear" w:color="auto" w:fill="173A5E"/>
            <w:vAlign w:val="center"/>
          </w:tcPr>
          <w:p w14:paraId="350DA3E2" w14:textId="77777777" w:rsidR="00DA2522" w:rsidRDefault="00000000">
            <w:r>
              <w:rPr>
                <w:b/>
                <w:color w:val="FFFFFF"/>
                <w:sz w:val="14"/>
              </w:rPr>
              <w:t>ID</w:t>
            </w:r>
          </w:p>
        </w:tc>
        <w:tc>
          <w:tcPr>
            <w:tcW w:w="2088" w:type="dxa"/>
            <w:shd w:val="clear" w:color="auto" w:fill="173A5E"/>
            <w:vAlign w:val="center"/>
          </w:tcPr>
          <w:p w14:paraId="6754EF2A" w14:textId="77777777" w:rsidR="00DA2522" w:rsidRDefault="00000000">
            <w:r>
              <w:rPr>
                <w:b/>
                <w:color w:val="FFFFFF"/>
                <w:sz w:val="14"/>
              </w:rPr>
              <w:t>Control</w:t>
            </w:r>
          </w:p>
        </w:tc>
        <w:tc>
          <w:tcPr>
            <w:tcW w:w="648" w:type="dxa"/>
            <w:shd w:val="clear" w:color="auto" w:fill="173A5E"/>
            <w:vAlign w:val="center"/>
          </w:tcPr>
          <w:p w14:paraId="406804D6" w14:textId="77777777" w:rsidR="00DA2522" w:rsidRDefault="00000000">
            <w:r>
              <w:rPr>
                <w:b/>
                <w:color w:val="FFFFFF"/>
                <w:sz w:val="14"/>
              </w:rPr>
              <w:t>Pri.</w:t>
            </w:r>
          </w:p>
        </w:tc>
        <w:tc>
          <w:tcPr>
            <w:tcW w:w="3960" w:type="dxa"/>
            <w:shd w:val="clear" w:color="auto" w:fill="173A5E"/>
            <w:vAlign w:val="center"/>
          </w:tcPr>
          <w:p w14:paraId="718E52C4" w14:textId="77777777" w:rsidR="00DA2522" w:rsidRDefault="00000000">
            <w:r>
              <w:rPr>
                <w:b/>
                <w:color w:val="FFFFFF"/>
                <w:sz w:val="14"/>
              </w:rPr>
              <w:t>Control objective</w:t>
            </w:r>
          </w:p>
        </w:tc>
        <w:tc>
          <w:tcPr>
            <w:tcW w:w="3024" w:type="dxa"/>
            <w:shd w:val="clear" w:color="auto" w:fill="173A5E"/>
            <w:vAlign w:val="center"/>
          </w:tcPr>
          <w:p w14:paraId="7C0A1EEA" w14:textId="77777777" w:rsidR="00DA2522" w:rsidRDefault="00000000">
            <w:r>
              <w:rPr>
                <w:b/>
                <w:color w:val="FFFFFF"/>
                <w:sz w:val="14"/>
              </w:rPr>
              <w:t>Converging basis</w:t>
            </w:r>
          </w:p>
        </w:tc>
      </w:tr>
      <w:tr w:rsidR="00DA2522" w14:paraId="3C751CC4" w14:textId="77777777">
        <w:trPr>
          <w:jc w:val="center"/>
        </w:trPr>
        <w:tc>
          <w:tcPr>
            <w:tcW w:w="648" w:type="dxa"/>
            <w:vAlign w:val="center"/>
          </w:tcPr>
          <w:p w14:paraId="5879CEC8" w14:textId="77777777" w:rsidR="00DA2522" w:rsidRDefault="00000000">
            <w:r>
              <w:rPr>
                <w:sz w:val="14"/>
              </w:rPr>
              <w:t>C10</w:t>
            </w:r>
          </w:p>
        </w:tc>
        <w:tc>
          <w:tcPr>
            <w:tcW w:w="2088" w:type="dxa"/>
            <w:vAlign w:val="center"/>
          </w:tcPr>
          <w:p w14:paraId="53FEB801" w14:textId="77777777" w:rsidR="00DA2522" w:rsidRDefault="00000000">
            <w:r>
              <w:rPr>
                <w:sz w:val="14"/>
              </w:rPr>
              <w:t>Memory security threat controls</w:t>
            </w:r>
          </w:p>
        </w:tc>
        <w:tc>
          <w:tcPr>
            <w:tcW w:w="648" w:type="dxa"/>
            <w:vAlign w:val="center"/>
          </w:tcPr>
          <w:p w14:paraId="6DE5E709" w14:textId="77777777" w:rsidR="00DA2522" w:rsidRDefault="00000000">
            <w:r>
              <w:rPr>
                <w:sz w:val="14"/>
              </w:rPr>
              <w:t>P0</w:t>
            </w:r>
          </w:p>
        </w:tc>
        <w:tc>
          <w:tcPr>
            <w:tcW w:w="3960" w:type="dxa"/>
            <w:vAlign w:val="center"/>
          </w:tcPr>
          <w:p w14:paraId="27DD3AF5" w14:textId="77777777" w:rsidR="00DA2522" w:rsidRDefault="00000000">
            <w:r>
              <w:rPr>
                <w:sz w:val="14"/>
              </w:rPr>
              <w:t>Test poisoning, prompt-to-query injection, unauthorized writes, graph manipulation, leakage and persistence attacks.</w:t>
            </w:r>
          </w:p>
        </w:tc>
        <w:tc>
          <w:tcPr>
            <w:tcW w:w="3024" w:type="dxa"/>
            <w:vAlign w:val="center"/>
          </w:tcPr>
          <w:p w14:paraId="6D2B980D" w14:textId="77777777" w:rsidR="00DA2522" w:rsidRDefault="00000000">
            <w:r>
              <w:rPr>
                <w:sz w:val="14"/>
              </w:rPr>
              <w:t>Reg S-P; NIST; FSB cyber risk.</w:t>
            </w:r>
          </w:p>
        </w:tc>
      </w:tr>
      <w:tr w:rsidR="00DA2522" w14:paraId="10F3EC33" w14:textId="77777777">
        <w:trPr>
          <w:jc w:val="center"/>
        </w:trPr>
        <w:tc>
          <w:tcPr>
            <w:tcW w:w="648" w:type="dxa"/>
            <w:shd w:val="clear" w:color="auto" w:fill="F3F6F9"/>
            <w:vAlign w:val="center"/>
          </w:tcPr>
          <w:p w14:paraId="73DD5036" w14:textId="77777777" w:rsidR="00DA2522" w:rsidRDefault="00000000">
            <w:r>
              <w:rPr>
                <w:sz w:val="14"/>
              </w:rPr>
              <w:t>C11</w:t>
            </w:r>
          </w:p>
        </w:tc>
        <w:tc>
          <w:tcPr>
            <w:tcW w:w="2088" w:type="dxa"/>
            <w:shd w:val="clear" w:color="auto" w:fill="F3F6F9"/>
            <w:vAlign w:val="center"/>
          </w:tcPr>
          <w:p w14:paraId="0C5B0CA0" w14:textId="77777777" w:rsidR="00DA2522" w:rsidRDefault="00000000">
            <w:r>
              <w:rPr>
                <w:sz w:val="14"/>
              </w:rPr>
              <w:t>Provider + cross-border data-flow governance</w:t>
            </w:r>
          </w:p>
        </w:tc>
        <w:tc>
          <w:tcPr>
            <w:tcW w:w="648" w:type="dxa"/>
            <w:shd w:val="clear" w:color="auto" w:fill="F3F6F9"/>
            <w:vAlign w:val="center"/>
          </w:tcPr>
          <w:p w14:paraId="1C0003E9" w14:textId="77777777" w:rsidR="00DA2522" w:rsidRDefault="00000000">
            <w:r>
              <w:rPr>
                <w:sz w:val="14"/>
              </w:rPr>
              <w:t>P0</w:t>
            </w:r>
          </w:p>
        </w:tc>
        <w:tc>
          <w:tcPr>
            <w:tcW w:w="3960" w:type="dxa"/>
            <w:shd w:val="clear" w:color="auto" w:fill="F3F6F9"/>
            <w:vAlign w:val="center"/>
          </w:tcPr>
          <w:p w14:paraId="47A2B472" w14:textId="77777777" w:rsidR="00DA2522" w:rsidRDefault="00000000">
            <w:r>
              <w:rPr>
                <w:sz w:val="14"/>
              </w:rPr>
              <w:t>Approved model/embedder/reranker/DB/telemetry endpoints, region, fallback and subprocessors; enforce data egress.</w:t>
            </w:r>
          </w:p>
        </w:tc>
        <w:tc>
          <w:tcPr>
            <w:tcW w:w="3024" w:type="dxa"/>
            <w:shd w:val="clear" w:color="auto" w:fill="F3F6F9"/>
            <w:vAlign w:val="center"/>
          </w:tcPr>
          <w:p w14:paraId="47F15919" w14:textId="77777777" w:rsidR="00DA2522" w:rsidRDefault="00000000">
            <w:r>
              <w:rPr>
                <w:sz w:val="14"/>
              </w:rPr>
              <w:t>GDPR transfers; Reg S-P; third-party/operational-risk frameworks.</w:t>
            </w:r>
          </w:p>
        </w:tc>
      </w:tr>
      <w:tr w:rsidR="00DA2522" w14:paraId="0FFA2AA2" w14:textId="77777777">
        <w:trPr>
          <w:jc w:val="center"/>
        </w:trPr>
        <w:tc>
          <w:tcPr>
            <w:tcW w:w="648" w:type="dxa"/>
            <w:vAlign w:val="center"/>
          </w:tcPr>
          <w:p w14:paraId="78B92B61" w14:textId="77777777" w:rsidR="00DA2522" w:rsidRDefault="00000000">
            <w:r>
              <w:rPr>
                <w:sz w:val="14"/>
              </w:rPr>
              <w:t>C12</w:t>
            </w:r>
          </w:p>
        </w:tc>
        <w:tc>
          <w:tcPr>
            <w:tcW w:w="2088" w:type="dxa"/>
            <w:vAlign w:val="center"/>
          </w:tcPr>
          <w:p w14:paraId="72C213AF" w14:textId="77777777" w:rsidR="00DA2522" w:rsidRDefault="00000000">
            <w:r>
              <w:rPr>
                <w:sz w:val="14"/>
              </w:rPr>
              <w:t>Scope-tiered governance</w:t>
            </w:r>
          </w:p>
        </w:tc>
        <w:tc>
          <w:tcPr>
            <w:tcW w:w="648" w:type="dxa"/>
            <w:vAlign w:val="center"/>
          </w:tcPr>
          <w:p w14:paraId="1A7A0C8C" w14:textId="77777777" w:rsidR="00DA2522" w:rsidRDefault="00000000">
            <w:r>
              <w:rPr>
                <w:sz w:val="14"/>
              </w:rPr>
              <w:t>P1</w:t>
            </w:r>
          </w:p>
        </w:tc>
        <w:tc>
          <w:tcPr>
            <w:tcW w:w="3960" w:type="dxa"/>
            <w:vAlign w:val="center"/>
          </w:tcPr>
          <w:p w14:paraId="574026F5" w14:textId="77777777" w:rsidR="00DA2522" w:rsidRDefault="00000000">
            <w:r>
              <w:rPr>
                <w:sz w:val="14"/>
              </w:rPr>
              <w:t>Governance tier based on internal vs client-facing/high-impact/platform-critical use.</w:t>
            </w:r>
          </w:p>
        </w:tc>
        <w:tc>
          <w:tcPr>
            <w:tcW w:w="3024" w:type="dxa"/>
            <w:vAlign w:val="center"/>
          </w:tcPr>
          <w:p w14:paraId="53236583" w14:textId="77777777" w:rsidR="00DA2522" w:rsidRDefault="00000000">
            <w:r>
              <w:rPr>
                <w:sz w:val="14"/>
              </w:rPr>
              <w:t>AI Act classification; DORA/FSB criticality and proportionality.</w:t>
            </w:r>
          </w:p>
        </w:tc>
      </w:tr>
      <w:tr w:rsidR="00DA2522" w14:paraId="328EBB48" w14:textId="77777777">
        <w:trPr>
          <w:jc w:val="center"/>
        </w:trPr>
        <w:tc>
          <w:tcPr>
            <w:tcW w:w="648" w:type="dxa"/>
            <w:shd w:val="clear" w:color="auto" w:fill="F3F6F9"/>
            <w:vAlign w:val="center"/>
          </w:tcPr>
          <w:p w14:paraId="0B424CBD" w14:textId="77777777" w:rsidR="00DA2522" w:rsidRDefault="00000000">
            <w:r>
              <w:rPr>
                <w:sz w:val="14"/>
              </w:rPr>
              <w:t>C13</w:t>
            </w:r>
          </w:p>
        </w:tc>
        <w:tc>
          <w:tcPr>
            <w:tcW w:w="2088" w:type="dxa"/>
            <w:shd w:val="clear" w:color="auto" w:fill="F3F6F9"/>
            <w:vAlign w:val="center"/>
          </w:tcPr>
          <w:p w14:paraId="0986B7DE" w14:textId="77777777" w:rsidR="00DA2522" w:rsidRDefault="00000000">
            <w:r>
              <w:rPr>
                <w:sz w:val="14"/>
              </w:rPr>
              <w:t>Legal-basis + purpose binding</w:t>
            </w:r>
          </w:p>
        </w:tc>
        <w:tc>
          <w:tcPr>
            <w:tcW w:w="648" w:type="dxa"/>
            <w:shd w:val="clear" w:color="auto" w:fill="F3F6F9"/>
            <w:vAlign w:val="center"/>
          </w:tcPr>
          <w:p w14:paraId="104884E3" w14:textId="77777777" w:rsidR="00DA2522" w:rsidRDefault="00000000">
            <w:r>
              <w:rPr>
                <w:sz w:val="14"/>
              </w:rPr>
              <w:t>P0</w:t>
            </w:r>
          </w:p>
        </w:tc>
        <w:tc>
          <w:tcPr>
            <w:tcW w:w="3960" w:type="dxa"/>
            <w:shd w:val="clear" w:color="auto" w:fill="F3F6F9"/>
            <w:vAlign w:val="center"/>
          </w:tcPr>
          <w:p w14:paraId="491EA5A5" w14:textId="77777777" w:rsidR="00DA2522" w:rsidRDefault="00000000">
            <w:r>
              <w:rPr>
                <w:sz w:val="14"/>
              </w:rPr>
              <w:t>Memory exists and is used only for approved purpose/legal basis where applicable; incompatible use blocked.</w:t>
            </w:r>
          </w:p>
        </w:tc>
        <w:tc>
          <w:tcPr>
            <w:tcW w:w="3024" w:type="dxa"/>
            <w:shd w:val="clear" w:color="auto" w:fill="F3F6F9"/>
            <w:vAlign w:val="center"/>
          </w:tcPr>
          <w:p w14:paraId="37C59916" w14:textId="77777777" w:rsidR="00DA2522" w:rsidRDefault="00000000">
            <w:r>
              <w:rPr>
                <w:sz w:val="14"/>
              </w:rPr>
              <w:t>GDPR Arts. 5, 6, 9.</w:t>
            </w:r>
          </w:p>
        </w:tc>
      </w:tr>
      <w:tr w:rsidR="00DA2522" w14:paraId="42B5D7F9" w14:textId="77777777">
        <w:trPr>
          <w:jc w:val="center"/>
        </w:trPr>
        <w:tc>
          <w:tcPr>
            <w:tcW w:w="648" w:type="dxa"/>
            <w:vAlign w:val="center"/>
          </w:tcPr>
          <w:p w14:paraId="28B38E47" w14:textId="77777777" w:rsidR="00DA2522" w:rsidRDefault="00000000">
            <w:r>
              <w:rPr>
                <w:sz w:val="14"/>
              </w:rPr>
              <w:t>C14</w:t>
            </w:r>
          </w:p>
        </w:tc>
        <w:tc>
          <w:tcPr>
            <w:tcW w:w="2088" w:type="dxa"/>
            <w:vAlign w:val="center"/>
          </w:tcPr>
          <w:p w14:paraId="0B65FA76" w14:textId="77777777" w:rsidR="00DA2522" w:rsidRDefault="00000000">
            <w:r>
              <w:rPr>
                <w:sz w:val="14"/>
              </w:rPr>
              <w:t>Data-subject rights orchestration</w:t>
            </w:r>
          </w:p>
        </w:tc>
        <w:tc>
          <w:tcPr>
            <w:tcW w:w="648" w:type="dxa"/>
            <w:vAlign w:val="center"/>
          </w:tcPr>
          <w:p w14:paraId="62462AFA" w14:textId="77777777" w:rsidR="00DA2522" w:rsidRDefault="00000000">
            <w:r>
              <w:rPr>
                <w:sz w:val="14"/>
              </w:rPr>
              <w:t>P1</w:t>
            </w:r>
          </w:p>
        </w:tc>
        <w:tc>
          <w:tcPr>
            <w:tcW w:w="3960" w:type="dxa"/>
            <w:vAlign w:val="center"/>
          </w:tcPr>
          <w:p w14:paraId="38EB95CF" w14:textId="77777777" w:rsidR="00DA2522" w:rsidRDefault="00000000">
            <w:r>
              <w:rPr>
                <w:sz w:val="14"/>
              </w:rPr>
              <w:t>Discover, access/export, rectify, restrict, erase and verify across representations.</w:t>
            </w:r>
          </w:p>
        </w:tc>
        <w:tc>
          <w:tcPr>
            <w:tcW w:w="3024" w:type="dxa"/>
            <w:vAlign w:val="center"/>
          </w:tcPr>
          <w:p w14:paraId="40DEE9A3" w14:textId="77777777" w:rsidR="00DA2522" w:rsidRDefault="00000000">
            <w:r>
              <w:rPr>
                <w:sz w:val="14"/>
              </w:rPr>
              <w:t>GDPR Arts. 15–20.</w:t>
            </w:r>
          </w:p>
        </w:tc>
      </w:tr>
      <w:tr w:rsidR="00DA2522" w14:paraId="70EF4C37" w14:textId="77777777">
        <w:trPr>
          <w:jc w:val="center"/>
        </w:trPr>
        <w:tc>
          <w:tcPr>
            <w:tcW w:w="648" w:type="dxa"/>
            <w:shd w:val="clear" w:color="auto" w:fill="F3F6F9"/>
            <w:vAlign w:val="center"/>
          </w:tcPr>
          <w:p w14:paraId="552B496B" w14:textId="77777777" w:rsidR="00DA2522" w:rsidRDefault="00000000">
            <w:r>
              <w:rPr>
                <w:sz w:val="14"/>
              </w:rPr>
              <w:t>C15</w:t>
            </w:r>
          </w:p>
        </w:tc>
        <w:tc>
          <w:tcPr>
            <w:tcW w:w="2088" w:type="dxa"/>
            <w:shd w:val="clear" w:color="auto" w:fill="F3F6F9"/>
            <w:vAlign w:val="center"/>
          </w:tcPr>
          <w:p w14:paraId="78AC5F2A" w14:textId="77777777" w:rsidR="00DA2522" w:rsidRDefault="00000000">
            <w:r>
              <w:rPr>
                <w:sz w:val="14"/>
              </w:rPr>
              <w:t>Ontology/schema governance</w:t>
            </w:r>
          </w:p>
        </w:tc>
        <w:tc>
          <w:tcPr>
            <w:tcW w:w="648" w:type="dxa"/>
            <w:shd w:val="clear" w:color="auto" w:fill="F3F6F9"/>
            <w:vAlign w:val="center"/>
          </w:tcPr>
          <w:p w14:paraId="07CBD189" w14:textId="77777777" w:rsidR="00DA2522" w:rsidRDefault="00000000">
            <w:r>
              <w:rPr>
                <w:sz w:val="14"/>
              </w:rPr>
              <w:t>P1</w:t>
            </w:r>
          </w:p>
        </w:tc>
        <w:tc>
          <w:tcPr>
            <w:tcW w:w="3960" w:type="dxa"/>
            <w:shd w:val="clear" w:color="auto" w:fill="F3F6F9"/>
            <w:vAlign w:val="center"/>
          </w:tcPr>
          <w:p w14:paraId="3132313D" w14:textId="77777777" w:rsidR="00DA2522" w:rsidRDefault="00000000">
            <w:r>
              <w:rPr>
                <w:sz w:val="14"/>
              </w:rPr>
              <w:t>Version graph schema/ontology; migration impact assessment, replay tests and lineage preservation.</w:t>
            </w:r>
          </w:p>
        </w:tc>
        <w:tc>
          <w:tcPr>
            <w:tcW w:w="3024" w:type="dxa"/>
            <w:shd w:val="clear" w:color="auto" w:fill="F3F6F9"/>
            <w:vAlign w:val="center"/>
          </w:tcPr>
          <w:p w14:paraId="6D97BB09" w14:textId="77777777" w:rsidR="00DA2522" w:rsidRDefault="00000000">
            <w:r>
              <w:rPr>
                <w:sz w:val="14"/>
              </w:rPr>
              <w:t>Technical documentation; change-management good practice.</w:t>
            </w:r>
          </w:p>
        </w:tc>
      </w:tr>
      <w:tr w:rsidR="00DA2522" w14:paraId="0A07EE02" w14:textId="77777777">
        <w:trPr>
          <w:jc w:val="center"/>
        </w:trPr>
        <w:tc>
          <w:tcPr>
            <w:tcW w:w="648" w:type="dxa"/>
            <w:vAlign w:val="center"/>
          </w:tcPr>
          <w:p w14:paraId="274BD53D" w14:textId="77777777" w:rsidR="00DA2522" w:rsidRDefault="00000000">
            <w:r>
              <w:rPr>
                <w:sz w:val="14"/>
              </w:rPr>
              <w:t>C16</w:t>
            </w:r>
          </w:p>
        </w:tc>
        <w:tc>
          <w:tcPr>
            <w:tcW w:w="2088" w:type="dxa"/>
            <w:vAlign w:val="center"/>
          </w:tcPr>
          <w:p w14:paraId="2340575C" w14:textId="77777777" w:rsidR="00DA2522" w:rsidRDefault="00000000">
            <w:r>
              <w:rPr>
                <w:sz w:val="14"/>
              </w:rPr>
              <w:t>Derived/inferred-memory governance</w:t>
            </w:r>
          </w:p>
        </w:tc>
        <w:tc>
          <w:tcPr>
            <w:tcW w:w="648" w:type="dxa"/>
            <w:vAlign w:val="center"/>
          </w:tcPr>
          <w:p w14:paraId="766421DC" w14:textId="77777777" w:rsidR="00DA2522" w:rsidRDefault="00000000">
            <w:r>
              <w:rPr>
                <w:sz w:val="14"/>
              </w:rPr>
              <w:t>P0</w:t>
            </w:r>
          </w:p>
        </w:tc>
        <w:tc>
          <w:tcPr>
            <w:tcW w:w="3960" w:type="dxa"/>
            <w:vAlign w:val="center"/>
          </w:tcPr>
          <w:p w14:paraId="7A73F306" w14:textId="77777777" w:rsidR="00DA2522" w:rsidRDefault="00000000">
            <w:r>
              <w:rPr>
                <w:sz w:val="14"/>
              </w:rPr>
              <w:t>Mark explicit/extracted/inferred/derived; stronger thresholds/controls for sensitive or weakly supported inference.</w:t>
            </w:r>
          </w:p>
        </w:tc>
        <w:tc>
          <w:tcPr>
            <w:tcW w:w="3024" w:type="dxa"/>
            <w:vAlign w:val="center"/>
          </w:tcPr>
          <w:p w14:paraId="4D3F21FE" w14:textId="77777777" w:rsidR="00DA2522" w:rsidRDefault="00000000">
            <w:r>
              <w:rPr>
                <w:sz w:val="14"/>
              </w:rPr>
              <w:t>GDPR accuracy/special-category principles; AI data governance.</w:t>
            </w:r>
          </w:p>
        </w:tc>
      </w:tr>
      <w:tr w:rsidR="00DA2522" w14:paraId="7F32887D" w14:textId="77777777">
        <w:trPr>
          <w:jc w:val="center"/>
        </w:trPr>
        <w:tc>
          <w:tcPr>
            <w:tcW w:w="648" w:type="dxa"/>
            <w:shd w:val="clear" w:color="auto" w:fill="F3F6F9"/>
            <w:vAlign w:val="center"/>
          </w:tcPr>
          <w:p w14:paraId="6D42894E" w14:textId="77777777" w:rsidR="00DA2522" w:rsidRDefault="00000000">
            <w:r>
              <w:rPr>
                <w:sz w:val="14"/>
              </w:rPr>
              <w:t>C17</w:t>
            </w:r>
          </w:p>
        </w:tc>
        <w:tc>
          <w:tcPr>
            <w:tcW w:w="2088" w:type="dxa"/>
            <w:shd w:val="clear" w:color="auto" w:fill="F3F6F9"/>
            <w:vAlign w:val="center"/>
          </w:tcPr>
          <w:p w14:paraId="2C9A7996" w14:textId="77777777" w:rsidR="00DA2522" w:rsidRDefault="00000000">
            <w:r>
              <w:rPr>
                <w:sz w:val="14"/>
              </w:rPr>
              <w:t>Tenant / semantic retrieval isolation</w:t>
            </w:r>
          </w:p>
        </w:tc>
        <w:tc>
          <w:tcPr>
            <w:tcW w:w="648" w:type="dxa"/>
            <w:shd w:val="clear" w:color="auto" w:fill="F3F6F9"/>
            <w:vAlign w:val="center"/>
          </w:tcPr>
          <w:p w14:paraId="3D3739E5" w14:textId="77777777" w:rsidR="00DA2522" w:rsidRDefault="00000000">
            <w:r>
              <w:rPr>
                <w:sz w:val="14"/>
              </w:rPr>
              <w:t>P0</w:t>
            </w:r>
          </w:p>
        </w:tc>
        <w:tc>
          <w:tcPr>
            <w:tcW w:w="3960" w:type="dxa"/>
            <w:shd w:val="clear" w:color="auto" w:fill="F3F6F9"/>
            <w:vAlign w:val="center"/>
          </w:tcPr>
          <w:p w14:paraId="0AB4EE32" w14:textId="77777777" w:rsidR="00DA2522" w:rsidRDefault="00000000">
            <w:r>
              <w:rPr>
                <w:sz w:val="14"/>
              </w:rPr>
              <w:t>Prevent cross-user/team/client access at DB, graph traversal, vector filtering, cache and reranking layers.</w:t>
            </w:r>
          </w:p>
        </w:tc>
        <w:tc>
          <w:tcPr>
            <w:tcW w:w="3024" w:type="dxa"/>
            <w:shd w:val="clear" w:color="auto" w:fill="F3F6F9"/>
            <w:vAlign w:val="center"/>
          </w:tcPr>
          <w:p w14:paraId="5A22AC22" w14:textId="77777777" w:rsidR="00DA2522" w:rsidRDefault="00000000">
            <w:r>
              <w:rPr>
                <w:sz w:val="14"/>
              </w:rPr>
              <w:t>GDPR/Reg S-P security; confidentiality.</w:t>
            </w:r>
          </w:p>
        </w:tc>
      </w:tr>
      <w:tr w:rsidR="00DA2522" w14:paraId="24D0E89E" w14:textId="77777777">
        <w:trPr>
          <w:jc w:val="center"/>
        </w:trPr>
        <w:tc>
          <w:tcPr>
            <w:tcW w:w="648" w:type="dxa"/>
            <w:vAlign w:val="center"/>
          </w:tcPr>
          <w:p w14:paraId="50AB1214" w14:textId="77777777" w:rsidR="00DA2522" w:rsidRDefault="00000000">
            <w:r>
              <w:rPr>
                <w:sz w:val="14"/>
              </w:rPr>
              <w:t>C18</w:t>
            </w:r>
          </w:p>
        </w:tc>
        <w:tc>
          <w:tcPr>
            <w:tcW w:w="2088" w:type="dxa"/>
            <w:vAlign w:val="center"/>
          </w:tcPr>
          <w:p w14:paraId="4DE16E0B" w14:textId="77777777" w:rsidR="00DA2522" w:rsidRDefault="00000000">
            <w:r>
              <w:rPr>
                <w:sz w:val="14"/>
              </w:rPr>
              <w:t>Failure/degraded-mode governance</w:t>
            </w:r>
          </w:p>
        </w:tc>
        <w:tc>
          <w:tcPr>
            <w:tcW w:w="648" w:type="dxa"/>
            <w:vAlign w:val="center"/>
          </w:tcPr>
          <w:p w14:paraId="5C478199" w14:textId="77777777" w:rsidR="00DA2522" w:rsidRDefault="00000000">
            <w:r>
              <w:rPr>
                <w:sz w:val="14"/>
              </w:rPr>
              <w:t>P1</w:t>
            </w:r>
          </w:p>
        </w:tc>
        <w:tc>
          <w:tcPr>
            <w:tcW w:w="3960" w:type="dxa"/>
            <w:vAlign w:val="center"/>
          </w:tcPr>
          <w:p w14:paraId="3E43B01C" w14:textId="77777777" w:rsidR="00DA2522" w:rsidRDefault="00000000">
            <w:r>
              <w:rPr>
                <w:sz w:val="14"/>
              </w:rPr>
              <w:t>Define fail-open/fail-closed behavior, stale replicas, no-memory fallback, RTO/RPO and safe recovery.</w:t>
            </w:r>
          </w:p>
        </w:tc>
        <w:tc>
          <w:tcPr>
            <w:tcW w:w="3024" w:type="dxa"/>
            <w:vAlign w:val="center"/>
          </w:tcPr>
          <w:p w14:paraId="45C800BB" w14:textId="77777777" w:rsidR="00DA2522" w:rsidRDefault="00000000">
            <w:r>
              <w:rPr>
                <w:sz w:val="14"/>
              </w:rPr>
              <w:t>DORA/operational resilience; FSB substitutability.</w:t>
            </w:r>
          </w:p>
        </w:tc>
      </w:tr>
    </w:tbl>
    <w:p w14:paraId="7D78B156" w14:textId="77777777" w:rsidR="00DA2522" w:rsidRDefault="00DA2522">
      <w:pPr>
        <w:spacing w:after="0"/>
      </w:pPr>
    </w:p>
    <w:tbl>
      <w:tblPr>
        <w:tblStyle w:val="TableGrid"/>
        <w:tblW w:w="0" w:type="auto"/>
        <w:jc w:val="center"/>
        <w:tblLook w:val="04A0" w:firstRow="1" w:lastRow="0" w:firstColumn="1" w:lastColumn="0" w:noHBand="0" w:noVBand="1"/>
      </w:tblPr>
      <w:tblGrid>
        <w:gridCol w:w="534"/>
        <w:gridCol w:w="1797"/>
        <w:gridCol w:w="516"/>
        <w:gridCol w:w="4867"/>
        <w:gridCol w:w="2438"/>
      </w:tblGrid>
      <w:tr w:rsidR="00DA2522" w14:paraId="0CFB2EF3" w14:textId="77777777">
        <w:trPr>
          <w:jc w:val="center"/>
        </w:trPr>
        <w:tc>
          <w:tcPr>
            <w:tcW w:w="648" w:type="dxa"/>
            <w:shd w:val="clear" w:color="auto" w:fill="173A5E"/>
            <w:vAlign w:val="center"/>
          </w:tcPr>
          <w:p w14:paraId="1A383C70" w14:textId="77777777" w:rsidR="00DA2522" w:rsidRDefault="00000000">
            <w:r>
              <w:rPr>
                <w:b/>
                <w:color w:val="FFFFFF"/>
                <w:sz w:val="14"/>
              </w:rPr>
              <w:t>ID</w:t>
            </w:r>
          </w:p>
        </w:tc>
        <w:tc>
          <w:tcPr>
            <w:tcW w:w="2088" w:type="dxa"/>
            <w:shd w:val="clear" w:color="auto" w:fill="173A5E"/>
            <w:vAlign w:val="center"/>
          </w:tcPr>
          <w:p w14:paraId="7A734277" w14:textId="77777777" w:rsidR="00DA2522" w:rsidRDefault="00000000">
            <w:r>
              <w:rPr>
                <w:b/>
                <w:color w:val="FFFFFF"/>
                <w:sz w:val="14"/>
              </w:rPr>
              <w:t>Control</w:t>
            </w:r>
          </w:p>
        </w:tc>
        <w:tc>
          <w:tcPr>
            <w:tcW w:w="648" w:type="dxa"/>
            <w:shd w:val="clear" w:color="auto" w:fill="173A5E"/>
            <w:vAlign w:val="center"/>
          </w:tcPr>
          <w:p w14:paraId="32C9CEC2" w14:textId="77777777" w:rsidR="00DA2522" w:rsidRDefault="00000000">
            <w:r>
              <w:rPr>
                <w:b/>
                <w:color w:val="FFFFFF"/>
                <w:sz w:val="14"/>
              </w:rPr>
              <w:t>Pri.</w:t>
            </w:r>
          </w:p>
        </w:tc>
        <w:tc>
          <w:tcPr>
            <w:tcW w:w="3960" w:type="dxa"/>
            <w:shd w:val="clear" w:color="auto" w:fill="173A5E"/>
            <w:vAlign w:val="center"/>
          </w:tcPr>
          <w:p w14:paraId="030DC82A" w14:textId="77777777" w:rsidR="00DA2522" w:rsidRDefault="00000000">
            <w:r>
              <w:rPr>
                <w:b/>
                <w:color w:val="FFFFFF"/>
                <w:sz w:val="14"/>
              </w:rPr>
              <w:t>Control objective</w:t>
            </w:r>
          </w:p>
        </w:tc>
        <w:tc>
          <w:tcPr>
            <w:tcW w:w="3024" w:type="dxa"/>
            <w:shd w:val="clear" w:color="auto" w:fill="173A5E"/>
            <w:vAlign w:val="center"/>
          </w:tcPr>
          <w:p w14:paraId="42C4A503" w14:textId="77777777" w:rsidR="00DA2522" w:rsidRDefault="00000000">
            <w:r>
              <w:rPr>
                <w:b/>
                <w:color w:val="FFFFFF"/>
                <w:sz w:val="14"/>
              </w:rPr>
              <w:t>Converging basis</w:t>
            </w:r>
          </w:p>
        </w:tc>
      </w:tr>
      <w:tr w:rsidR="00DA2522" w14:paraId="11BF91E0" w14:textId="77777777">
        <w:trPr>
          <w:jc w:val="center"/>
        </w:trPr>
        <w:tc>
          <w:tcPr>
            <w:tcW w:w="648" w:type="dxa"/>
            <w:vAlign w:val="center"/>
          </w:tcPr>
          <w:p w14:paraId="1B44D601" w14:textId="77777777" w:rsidR="00DA2522" w:rsidRDefault="00000000">
            <w:r>
              <w:rPr>
                <w:sz w:val="14"/>
              </w:rPr>
              <w:t>C19</w:t>
            </w:r>
          </w:p>
        </w:tc>
        <w:tc>
          <w:tcPr>
            <w:tcW w:w="2088" w:type="dxa"/>
            <w:vAlign w:val="center"/>
          </w:tcPr>
          <w:p w14:paraId="3AD2A0E8" w14:textId="77777777" w:rsidR="00DA2522" w:rsidRDefault="00000000">
            <w:r>
              <w:rPr>
                <w:sz w:val="14"/>
              </w:rPr>
              <w:t>Information-barrier / MNPI segmentation</w:t>
            </w:r>
          </w:p>
        </w:tc>
        <w:tc>
          <w:tcPr>
            <w:tcW w:w="648" w:type="dxa"/>
            <w:vAlign w:val="center"/>
          </w:tcPr>
          <w:p w14:paraId="3D73B521" w14:textId="77777777" w:rsidR="00DA2522" w:rsidRDefault="00000000">
            <w:r>
              <w:rPr>
                <w:sz w:val="14"/>
              </w:rPr>
              <w:t>P0</w:t>
            </w:r>
          </w:p>
        </w:tc>
        <w:tc>
          <w:tcPr>
            <w:tcW w:w="3960" w:type="dxa"/>
            <w:vAlign w:val="center"/>
          </w:tcPr>
          <w:p w14:paraId="1AF88C75" w14:textId="77777777" w:rsidR="00DA2522" w:rsidRDefault="00000000">
            <w:r>
              <w:rPr>
                <w:sz w:val="14"/>
              </w:rPr>
              <w:t>Enforce business-unit, wall-crossing, restricted-list and need-to-know constraints; prohibit cross-boundary inference/retrieval.</w:t>
            </w:r>
          </w:p>
        </w:tc>
        <w:tc>
          <w:tcPr>
            <w:tcW w:w="3024" w:type="dxa"/>
            <w:vAlign w:val="center"/>
          </w:tcPr>
          <w:p w14:paraId="4C311355" w14:textId="77777777" w:rsidR="00DA2522" w:rsidRDefault="00000000">
            <w:r>
              <w:rPr>
                <w:sz w:val="14"/>
              </w:rPr>
              <w:t>Financial-services confidentiality and conduct controls.</w:t>
            </w:r>
          </w:p>
        </w:tc>
      </w:tr>
      <w:tr w:rsidR="00DA2522" w14:paraId="4311B8D7" w14:textId="77777777">
        <w:trPr>
          <w:jc w:val="center"/>
        </w:trPr>
        <w:tc>
          <w:tcPr>
            <w:tcW w:w="648" w:type="dxa"/>
            <w:shd w:val="clear" w:color="auto" w:fill="F3F6F9"/>
            <w:vAlign w:val="center"/>
          </w:tcPr>
          <w:p w14:paraId="7D4C0AB9" w14:textId="77777777" w:rsidR="00DA2522" w:rsidRDefault="00000000">
            <w:r>
              <w:rPr>
                <w:sz w:val="14"/>
              </w:rPr>
              <w:lastRenderedPageBreak/>
              <w:t>C20</w:t>
            </w:r>
          </w:p>
        </w:tc>
        <w:tc>
          <w:tcPr>
            <w:tcW w:w="2088" w:type="dxa"/>
            <w:shd w:val="clear" w:color="auto" w:fill="F3F6F9"/>
            <w:vAlign w:val="center"/>
          </w:tcPr>
          <w:p w14:paraId="69445EEE" w14:textId="77777777" w:rsidR="00DA2522" w:rsidRDefault="00000000">
            <w:r>
              <w:rPr>
                <w:sz w:val="14"/>
              </w:rPr>
              <w:t>Authoritative-source hierarchy</w:t>
            </w:r>
          </w:p>
        </w:tc>
        <w:tc>
          <w:tcPr>
            <w:tcW w:w="648" w:type="dxa"/>
            <w:shd w:val="clear" w:color="auto" w:fill="F3F6F9"/>
            <w:vAlign w:val="center"/>
          </w:tcPr>
          <w:p w14:paraId="7EFAB6BC" w14:textId="77777777" w:rsidR="00DA2522" w:rsidRDefault="00000000">
            <w:r>
              <w:rPr>
                <w:sz w:val="14"/>
              </w:rPr>
              <w:t>P0</w:t>
            </w:r>
          </w:p>
        </w:tc>
        <w:tc>
          <w:tcPr>
            <w:tcW w:w="3960" w:type="dxa"/>
            <w:shd w:val="clear" w:color="auto" w:fill="F3F6F9"/>
            <w:vAlign w:val="center"/>
          </w:tcPr>
          <w:p w14:paraId="7341482C" w14:textId="77777777" w:rsidR="00DA2522" w:rsidRDefault="00000000">
            <w:r>
              <w:rPr>
                <w:sz w:val="14"/>
              </w:rPr>
              <w:t>Derived/recency-based memory cannot silently override systems of record or higher-authority sources.</w:t>
            </w:r>
          </w:p>
        </w:tc>
        <w:tc>
          <w:tcPr>
            <w:tcW w:w="3024" w:type="dxa"/>
            <w:shd w:val="clear" w:color="auto" w:fill="F3F6F9"/>
            <w:vAlign w:val="center"/>
          </w:tcPr>
          <w:p w14:paraId="2A7AC62F" w14:textId="77777777" w:rsidR="00DA2522" w:rsidRDefault="00000000">
            <w:r>
              <w:rPr>
                <w:sz w:val="14"/>
              </w:rPr>
              <w:t>Data quality, accuracy, fiduciary/control expectations.</w:t>
            </w:r>
          </w:p>
        </w:tc>
      </w:tr>
      <w:tr w:rsidR="00DA2522" w14:paraId="6F4B8B58" w14:textId="77777777">
        <w:trPr>
          <w:jc w:val="center"/>
        </w:trPr>
        <w:tc>
          <w:tcPr>
            <w:tcW w:w="648" w:type="dxa"/>
            <w:vAlign w:val="center"/>
          </w:tcPr>
          <w:p w14:paraId="19ECD9B0" w14:textId="77777777" w:rsidR="00DA2522" w:rsidRDefault="00000000">
            <w:r>
              <w:rPr>
                <w:sz w:val="14"/>
              </w:rPr>
              <w:t>C21</w:t>
            </w:r>
          </w:p>
        </w:tc>
        <w:tc>
          <w:tcPr>
            <w:tcW w:w="2088" w:type="dxa"/>
            <w:vAlign w:val="center"/>
          </w:tcPr>
          <w:p w14:paraId="2E67F6A7" w14:textId="77777777" w:rsidR="00DA2522" w:rsidRDefault="00000000">
            <w:r>
              <w:rPr>
                <w:sz w:val="14"/>
              </w:rPr>
              <w:t>Purpose-bound use authorization</w:t>
            </w:r>
          </w:p>
        </w:tc>
        <w:tc>
          <w:tcPr>
            <w:tcW w:w="648" w:type="dxa"/>
            <w:vAlign w:val="center"/>
          </w:tcPr>
          <w:p w14:paraId="656E239B" w14:textId="77777777" w:rsidR="00DA2522" w:rsidRDefault="00000000">
            <w:r>
              <w:rPr>
                <w:sz w:val="14"/>
              </w:rPr>
              <w:t>P0</w:t>
            </w:r>
          </w:p>
        </w:tc>
        <w:tc>
          <w:tcPr>
            <w:tcW w:w="3960" w:type="dxa"/>
            <w:vAlign w:val="center"/>
          </w:tcPr>
          <w:p w14:paraId="4D58E153" w14:textId="77777777" w:rsidR="00DA2522" w:rsidRDefault="00000000">
            <w:r>
              <w:rPr>
                <w:sz w:val="14"/>
              </w:rPr>
              <w:t>A relevant memory is returned only if authorized for the requested purpose/decision context.</w:t>
            </w:r>
          </w:p>
        </w:tc>
        <w:tc>
          <w:tcPr>
            <w:tcW w:w="3024" w:type="dxa"/>
            <w:vAlign w:val="center"/>
          </w:tcPr>
          <w:p w14:paraId="65C91C32" w14:textId="77777777" w:rsidR="00DA2522" w:rsidRDefault="00000000">
            <w:r>
              <w:rPr>
                <w:sz w:val="14"/>
              </w:rPr>
              <w:t>GDPR purpose limitation; internal conduct/control policy.</w:t>
            </w:r>
          </w:p>
        </w:tc>
      </w:tr>
      <w:tr w:rsidR="00DA2522" w14:paraId="63EA4B7B" w14:textId="77777777">
        <w:trPr>
          <w:jc w:val="center"/>
        </w:trPr>
        <w:tc>
          <w:tcPr>
            <w:tcW w:w="648" w:type="dxa"/>
            <w:shd w:val="clear" w:color="auto" w:fill="F3F6F9"/>
            <w:vAlign w:val="center"/>
          </w:tcPr>
          <w:p w14:paraId="402D9F5D" w14:textId="77777777" w:rsidR="00DA2522" w:rsidRDefault="00000000">
            <w:r>
              <w:rPr>
                <w:sz w:val="14"/>
              </w:rPr>
              <w:t>C22</w:t>
            </w:r>
          </w:p>
        </w:tc>
        <w:tc>
          <w:tcPr>
            <w:tcW w:w="2088" w:type="dxa"/>
            <w:shd w:val="clear" w:color="auto" w:fill="F3F6F9"/>
            <w:vAlign w:val="center"/>
          </w:tcPr>
          <w:p w14:paraId="314777F2" w14:textId="77777777" w:rsidR="00DA2522" w:rsidRDefault="00000000">
            <w:r>
              <w:rPr>
                <w:sz w:val="14"/>
              </w:rPr>
              <w:t>Memory confidence/calibration</w:t>
            </w:r>
          </w:p>
        </w:tc>
        <w:tc>
          <w:tcPr>
            <w:tcW w:w="648" w:type="dxa"/>
            <w:shd w:val="clear" w:color="auto" w:fill="F3F6F9"/>
            <w:vAlign w:val="center"/>
          </w:tcPr>
          <w:p w14:paraId="1DD14B7E" w14:textId="77777777" w:rsidR="00DA2522" w:rsidRDefault="00000000">
            <w:r>
              <w:rPr>
                <w:sz w:val="14"/>
              </w:rPr>
              <w:t>P2</w:t>
            </w:r>
          </w:p>
        </w:tc>
        <w:tc>
          <w:tcPr>
            <w:tcW w:w="3960" w:type="dxa"/>
            <w:shd w:val="clear" w:color="auto" w:fill="F3F6F9"/>
            <w:vAlign w:val="center"/>
          </w:tcPr>
          <w:p w14:paraId="0149ECAE" w14:textId="77777777" w:rsidR="00DA2522" w:rsidRDefault="00000000">
            <w:r>
              <w:rPr>
                <w:sz w:val="14"/>
              </w:rPr>
              <w:t>Quantify confidence/freshness/authority and validate whether scores predict actual reliability.</w:t>
            </w:r>
          </w:p>
        </w:tc>
        <w:tc>
          <w:tcPr>
            <w:tcW w:w="3024" w:type="dxa"/>
            <w:shd w:val="clear" w:color="auto" w:fill="F3F6F9"/>
            <w:vAlign w:val="center"/>
          </w:tcPr>
          <w:p w14:paraId="0C0982C4" w14:textId="77777777" w:rsidR="00DA2522" w:rsidRDefault="00000000">
            <w:r>
              <w:rPr>
                <w:sz w:val="14"/>
              </w:rPr>
              <w:t>Research control supporting data quality and risk-based use.</w:t>
            </w:r>
          </w:p>
        </w:tc>
      </w:tr>
      <w:tr w:rsidR="00DA2522" w14:paraId="05BD6C98" w14:textId="77777777">
        <w:trPr>
          <w:jc w:val="center"/>
        </w:trPr>
        <w:tc>
          <w:tcPr>
            <w:tcW w:w="648" w:type="dxa"/>
            <w:vAlign w:val="center"/>
          </w:tcPr>
          <w:p w14:paraId="2E5E8E74" w14:textId="77777777" w:rsidR="00DA2522" w:rsidRDefault="00000000">
            <w:r>
              <w:rPr>
                <w:sz w:val="14"/>
              </w:rPr>
              <w:t>C23</w:t>
            </w:r>
          </w:p>
        </w:tc>
        <w:tc>
          <w:tcPr>
            <w:tcW w:w="2088" w:type="dxa"/>
            <w:vAlign w:val="center"/>
          </w:tcPr>
          <w:p w14:paraId="7C8BD56C" w14:textId="77777777" w:rsidR="00DA2522" w:rsidRDefault="00000000">
            <w:r>
              <w:rPr>
                <w:sz w:val="14"/>
              </w:rPr>
              <w:t>Role/agent operation authorization</w:t>
            </w:r>
          </w:p>
        </w:tc>
        <w:tc>
          <w:tcPr>
            <w:tcW w:w="648" w:type="dxa"/>
            <w:vAlign w:val="center"/>
          </w:tcPr>
          <w:p w14:paraId="1B8795E9" w14:textId="77777777" w:rsidR="00DA2522" w:rsidRDefault="00000000">
            <w:r>
              <w:rPr>
                <w:sz w:val="14"/>
              </w:rPr>
              <w:t>P0</w:t>
            </w:r>
          </w:p>
        </w:tc>
        <w:tc>
          <w:tcPr>
            <w:tcW w:w="3960" w:type="dxa"/>
            <w:vAlign w:val="center"/>
          </w:tcPr>
          <w:p w14:paraId="3B8EC0EB" w14:textId="77777777" w:rsidR="00DA2522" w:rsidRDefault="00000000">
            <w:r>
              <w:rPr>
                <w:sz w:val="14"/>
              </w:rPr>
              <w:t>Separate rights to READ/WRITE/INFER/UPDATE/MERGE/PROMOTE/RESTRICT/DELETE/EXPORT.</w:t>
            </w:r>
          </w:p>
        </w:tc>
        <w:tc>
          <w:tcPr>
            <w:tcW w:w="3024" w:type="dxa"/>
            <w:vAlign w:val="center"/>
          </w:tcPr>
          <w:p w14:paraId="6E8BD6D4" w14:textId="77777777" w:rsidR="00DA2522" w:rsidRDefault="00000000">
            <w:r>
              <w:rPr>
                <w:sz w:val="14"/>
              </w:rPr>
              <w:t>Least privilege; privacy/security principles.</w:t>
            </w:r>
          </w:p>
        </w:tc>
      </w:tr>
      <w:tr w:rsidR="00DA2522" w14:paraId="17F5ECFA" w14:textId="77777777">
        <w:trPr>
          <w:jc w:val="center"/>
        </w:trPr>
        <w:tc>
          <w:tcPr>
            <w:tcW w:w="648" w:type="dxa"/>
            <w:shd w:val="clear" w:color="auto" w:fill="F3F6F9"/>
            <w:vAlign w:val="center"/>
          </w:tcPr>
          <w:p w14:paraId="4EFBB425" w14:textId="77777777" w:rsidR="00DA2522" w:rsidRDefault="00000000">
            <w:r>
              <w:rPr>
                <w:sz w:val="14"/>
              </w:rPr>
              <w:t>C24</w:t>
            </w:r>
          </w:p>
        </w:tc>
        <w:tc>
          <w:tcPr>
            <w:tcW w:w="2088" w:type="dxa"/>
            <w:shd w:val="clear" w:color="auto" w:fill="F3F6F9"/>
            <w:vAlign w:val="center"/>
          </w:tcPr>
          <w:p w14:paraId="293AE0BC" w14:textId="77777777" w:rsidR="00DA2522" w:rsidRDefault="00000000">
            <w:r>
              <w:rPr>
                <w:sz w:val="14"/>
              </w:rPr>
              <w:t>Explicit lifecycle-state management</w:t>
            </w:r>
          </w:p>
        </w:tc>
        <w:tc>
          <w:tcPr>
            <w:tcW w:w="648" w:type="dxa"/>
            <w:shd w:val="clear" w:color="auto" w:fill="F3F6F9"/>
            <w:vAlign w:val="center"/>
          </w:tcPr>
          <w:p w14:paraId="52CC5859" w14:textId="77777777" w:rsidR="00DA2522" w:rsidRDefault="00000000">
            <w:r>
              <w:rPr>
                <w:sz w:val="14"/>
              </w:rPr>
              <w:t>P0</w:t>
            </w:r>
          </w:p>
        </w:tc>
        <w:tc>
          <w:tcPr>
            <w:tcW w:w="3960" w:type="dxa"/>
            <w:shd w:val="clear" w:color="auto" w:fill="F3F6F9"/>
            <w:vAlign w:val="center"/>
          </w:tcPr>
          <w:p w14:paraId="04663630" w14:textId="77777777" w:rsidR="00DA2522" w:rsidRDefault="00000000">
            <w:r>
              <w:rPr>
                <w:sz w:val="14"/>
              </w:rPr>
              <w:t>Support ACTIVE, DISPUTED, RESTRICTED, SUPERSEDED, EXPIRED, HELD, DELETED states and state-specific retrieval behavior.</w:t>
            </w:r>
          </w:p>
        </w:tc>
        <w:tc>
          <w:tcPr>
            <w:tcW w:w="3024" w:type="dxa"/>
            <w:shd w:val="clear" w:color="auto" w:fill="F3F6F9"/>
            <w:vAlign w:val="center"/>
          </w:tcPr>
          <w:p w14:paraId="60397978" w14:textId="77777777" w:rsidR="00DA2522" w:rsidRDefault="00000000">
            <w:r>
              <w:rPr>
                <w:sz w:val="14"/>
              </w:rPr>
              <w:t>GDPR restriction/accuracy/retention; records management.</w:t>
            </w:r>
          </w:p>
        </w:tc>
      </w:tr>
      <w:tr w:rsidR="00DA2522" w14:paraId="7B57045D" w14:textId="77777777">
        <w:trPr>
          <w:jc w:val="center"/>
        </w:trPr>
        <w:tc>
          <w:tcPr>
            <w:tcW w:w="648" w:type="dxa"/>
            <w:vAlign w:val="center"/>
          </w:tcPr>
          <w:p w14:paraId="5090FA60" w14:textId="77777777" w:rsidR="00DA2522" w:rsidRDefault="00000000">
            <w:r>
              <w:rPr>
                <w:sz w:val="14"/>
              </w:rPr>
              <w:t>C25</w:t>
            </w:r>
          </w:p>
        </w:tc>
        <w:tc>
          <w:tcPr>
            <w:tcW w:w="2088" w:type="dxa"/>
            <w:vAlign w:val="center"/>
          </w:tcPr>
          <w:p w14:paraId="64E2209F" w14:textId="77777777" w:rsidR="00DA2522" w:rsidRDefault="00000000">
            <w:r>
              <w:rPr>
                <w:sz w:val="14"/>
              </w:rPr>
              <w:t>Backup/restore compliance</w:t>
            </w:r>
          </w:p>
        </w:tc>
        <w:tc>
          <w:tcPr>
            <w:tcW w:w="648" w:type="dxa"/>
            <w:vAlign w:val="center"/>
          </w:tcPr>
          <w:p w14:paraId="520A553E" w14:textId="77777777" w:rsidR="00DA2522" w:rsidRDefault="00000000">
            <w:r>
              <w:rPr>
                <w:sz w:val="14"/>
              </w:rPr>
              <w:t>P1</w:t>
            </w:r>
          </w:p>
        </w:tc>
        <w:tc>
          <w:tcPr>
            <w:tcW w:w="3960" w:type="dxa"/>
            <w:vAlign w:val="center"/>
          </w:tcPr>
          <w:p w14:paraId="7175116C" w14:textId="77777777" w:rsidR="00DA2522" w:rsidRDefault="00000000">
            <w:r>
              <w:rPr>
                <w:sz w:val="14"/>
              </w:rPr>
              <w:t>Deleted/restricted memory cannot silently re-enter active state after restore; backup aging and recovery controls documented.</w:t>
            </w:r>
          </w:p>
        </w:tc>
        <w:tc>
          <w:tcPr>
            <w:tcW w:w="3024" w:type="dxa"/>
            <w:vAlign w:val="center"/>
          </w:tcPr>
          <w:p w14:paraId="332A5DA3" w14:textId="77777777" w:rsidR="00DA2522" w:rsidRDefault="00000000">
            <w:r>
              <w:rPr>
                <w:sz w:val="14"/>
              </w:rPr>
              <w:t>GDPR erasure/security; resilience.</w:t>
            </w:r>
          </w:p>
        </w:tc>
      </w:tr>
      <w:tr w:rsidR="00DA2522" w14:paraId="74B91DAA" w14:textId="77777777">
        <w:trPr>
          <w:jc w:val="center"/>
        </w:trPr>
        <w:tc>
          <w:tcPr>
            <w:tcW w:w="648" w:type="dxa"/>
            <w:shd w:val="clear" w:color="auto" w:fill="F3F6F9"/>
            <w:vAlign w:val="center"/>
          </w:tcPr>
          <w:p w14:paraId="544F4EEF" w14:textId="77777777" w:rsidR="00DA2522" w:rsidRDefault="00000000">
            <w:r>
              <w:rPr>
                <w:sz w:val="14"/>
              </w:rPr>
              <w:t>C26</w:t>
            </w:r>
          </w:p>
        </w:tc>
        <w:tc>
          <w:tcPr>
            <w:tcW w:w="2088" w:type="dxa"/>
            <w:shd w:val="clear" w:color="auto" w:fill="F3F6F9"/>
            <w:vAlign w:val="center"/>
          </w:tcPr>
          <w:p w14:paraId="0193F6ED" w14:textId="77777777" w:rsidR="00DA2522" w:rsidRDefault="00000000">
            <w:r>
              <w:rPr>
                <w:sz w:val="14"/>
              </w:rPr>
              <w:t>Model/prompt/schema version lineage</w:t>
            </w:r>
          </w:p>
        </w:tc>
        <w:tc>
          <w:tcPr>
            <w:tcW w:w="648" w:type="dxa"/>
            <w:shd w:val="clear" w:color="auto" w:fill="F3F6F9"/>
            <w:vAlign w:val="center"/>
          </w:tcPr>
          <w:p w14:paraId="24749C3E" w14:textId="77777777" w:rsidR="00DA2522" w:rsidRDefault="00000000">
            <w:r>
              <w:rPr>
                <w:sz w:val="14"/>
              </w:rPr>
              <w:t>P0</w:t>
            </w:r>
          </w:p>
        </w:tc>
        <w:tc>
          <w:tcPr>
            <w:tcW w:w="3960" w:type="dxa"/>
            <w:shd w:val="clear" w:color="auto" w:fill="F3F6F9"/>
            <w:vAlign w:val="center"/>
          </w:tcPr>
          <w:p w14:paraId="289ACE91" w14:textId="77777777" w:rsidR="00DA2522" w:rsidRDefault="00000000">
            <w:r>
              <w:rPr>
                <w:sz w:val="14"/>
              </w:rPr>
              <w:t>Record which extractor/model/prompt/embedder/schema/policy produced each derived memory.</w:t>
            </w:r>
          </w:p>
        </w:tc>
        <w:tc>
          <w:tcPr>
            <w:tcW w:w="3024" w:type="dxa"/>
            <w:shd w:val="clear" w:color="auto" w:fill="F3F6F9"/>
            <w:vAlign w:val="center"/>
          </w:tcPr>
          <w:p w14:paraId="55F36010" w14:textId="77777777" w:rsidR="00DA2522" w:rsidRDefault="00000000">
            <w:r>
              <w:rPr>
                <w:sz w:val="14"/>
              </w:rPr>
              <w:t>Auditability, technical documentation, reproducibility.</w:t>
            </w:r>
          </w:p>
        </w:tc>
      </w:tr>
      <w:tr w:rsidR="00DA2522" w14:paraId="6B3B5D1D" w14:textId="77777777">
        <w:trPr>
          <w:jc w:val="center"/>
        </w:trPr>
        <w:tc>
          <w:tcPr>
            <w:tcW w:w="648" w:type="dxa"/>
            <w:vAlign w:val="center"/>
          </w:tcPr>
          <w:p w14:paraId="7CB3EECD" w14:textId="77777777" w:rsidR="00DA2522" w:rsidRDefault="00000000">
            <w:r>
              <w:rPr>
                <w:sz w:val="14"/>
              </w:rPr>
              <w:t>C27</w:t>
            </w:r>
          </w:p>
        </w:tc>
        <w:tc>
          <w:tcPr>
            <w:tcW w:w="2088" w:type="dxa"/>
            <w:vAlign w:val="center"/>
          </w:tcPr>
          <w:p w14:paraId="1DDD2BD5" w14:textId="77777777" w:rsidR="00DA2522" w:rsidRDefault="00000000">
            <w:r>
              <w:rPr>
                <w:sz w:val="14"/>
              </w:rPr>
              <w:t>Exit/migration portability</w:t>
            </w:r>
          </w:p>
        </w:tc>
        <w:tc>
          <w:tcPr>
            <w:tcW w:w="648" w:type="dxa"/>
            <w:vAlign w:val="center"/>
          </w:tcPr>
          <w:p w14:paraId="48E73982" w14:textId="77777777" w:rsidR="00DA2522" w:rsidRDefault="00000000">
            <w:r>
              <w:rPr>
                <w:sz w:val="14"/>
              </w:rPr>
              <w:t>P1</w:t>
            </w:r>
          </w:p>
        </w:tc>
        <w:tc>
          <w:tcPr>
            <w:tcW w:w="3960" w:type="dxa"/>
            <w:vAlign w:val="center"/>
          </w:tcPr>
          <w:p w14:paraId="699613BB" w14:textId="77777777" w:rsidR="00DA2522" w:rsidRDefault="00000000">
            <w:r>
              <w:rPr>
                <w:sz w:val="14"/>
              </w:rPr>
              <w:t>Export governed memory with provenance/policy and migrate backends without losing rights or controls.</w:t>
            </w:r>
          </w:p>
        </w:tc>
        <w:tc>
          <w:tcPr>
            <w:tcW w:w="3024" w:type="dxa"/>
            <w:vAlign w:val="center"/>
          </w:tcPr>
          <w:p w14:paraId="3D7FCF2A" w14:textId="77777777" w:rsidR="00DA2522" w:rsidRDefault="00000000">
            <w:r>
              <w:rPr>
                <w:sz w:val="14"/>
              </w:rPr>
              <w:t>DORA/third-party risk; FSB substitutability.</w:t>
            </w:r>
          </w:p>
        </w:tc>
      </w:tr>
      <w:tr w:rsidR="00DA2522" w14:paraId="4A41F446" w14:textId="77777777">
        <w:trPr>
          <w:jc w:val="center"/>
        </w:trPr>
        <w:tc>
          <w:tcPr>
            <w:tcW w:w="648" w:type="dxa"/>
            <w:vAlign w:val="center"/>
          </w:tcPr>
          <w:p w14:paraId="5F702016" w14:textId="77777777" w:rsidR="00DA2522" w:rsidRDefault="00000000">
            <w:r>
              <w:rPr>
                <w:sz w:val="14"/>
              </w:rPr>
              <w:t>C28</w:t>
            </w:r>
          </w:p>
        </w:tc>
        <w:tc>
          <w:tcPr>
            <w:tcW w:w="2088" w:type="dxa"/>
            <w:vAlign w:val="center"/>
          </w:tcPr>
          <w:p w14:paraId="6B8BE440" w14:textId="77777777" w:rsidR="00DA2522" w:rsidRDefault="00000000">
            <w:r>
              <w:rPr>
                <w:sz w:val="14"/>
              </w:rPr>
              <w:t>Consolidation-job governance</w:t>
            </w:r>
          </w:p>
        </w:tc>
        <w:tc>
          <w:tcPr>
            <w:tcW w:w="648" w:type="dxa"/>
            <w:vAlign w:val="center"/>
          </w:tcPr>
          <w:p w14:paraId="70C0598B" w14:textId="77777777" w:rsidR="00DA2522" w:rsidRDefault="00000000">
            <w:r>
              <w:rPr>
                <w:sz w:val="14"/>
              </w:rPr>
              <w:t>P0</w:t>
            </w:r>
          </w:p>
        </w:tc>
        <w:tc>
          <w:tcPr>
            <w:tcW w:w="3960" w:type="dxa"/>
            <w:vAlign w:val="center"/>
          </w:tcPr>
          <w:p w14:paraId="1E3811B9" w14:textId="77777777" w:rsidR="00DA2522" w:rsidRDefault="00000000">
            <w:r>
              <w:rPr>
                <w:sz w:val="14"/>
              </w:rPr>
              <w:t>Background writers (summarise, merge, supersede, promote, reflect) are identified gateway actors with scoped permissions, budgets and diff-and-approve for high-authority or barrier-scoped memory.</w:t>
            </w:r>
          </w:p>
        </w:tc>
        <w:tc>
          <w:tcPr>
            <w:tcW w:w="3024" w:type="dxa"/>
            <w:vAlign w:val="center"/>
          </w:tcPr>
          <w:p w14:paraId="680CB328" w14:textId="77777777" w:rsidR="00DA2522" w:rsidRDefault="00000000">
            <w:r>
              <w:rPr>
                <w:sz w:val="14"/>
              </w:rPr>
              <w:t>AI Act Arts. 12, 14; AuthMem-Bench; Section 9.1.</w:t>
            </w:r>
          </w:p>
        </w:tc>
      </w:tr>
      <w:tr w:rsidR="00DA2522" w14:paraId="43FDDD82" w14:textId="77777777">
        <w:trPr>
          <w:jc w:val="center"/>
        </w:trPr>
        <w:tc>
          <w:tcPr>
            <w:tcW w:w="648" w:type="dxa"/>
            <w:vAlign w:val="center"/>
          </w:tcPr>
          <w:p w14:paraId="5F450D1A" w14:textId="77777777" w:rsidR="00DA2522" w:rsidRDefault="00000000">
            <w:r>
              <w:rPr>
                <w:sz w:val="14"/>
              </w:rPr>
              <w:t>C29</w:t>
            </w:r>
          </w:p>
        </w:tc>
        <w:tc>
          <w:tcPr>
            <w:tcW w:w="2088" w:type="dxa"/>
            <w:vAlign w:val="center"/>
          </w:tcPr>
          <w:p w14:paraId="771478F5" w14:textId="77777777" w:rsidR="00DA2522" w:rsidRDefault="00000000">
            <w:r>
              <w:rPr>
                <w:sz w:val="14"/>
              </w:rPr>
              <w:t>Memory→skill promotion gate</w:t>
            </w:r>
          </w:p>
        </w:tc>
        <w:tc>
          <w:tcPr>
            <w:tcW w:w="648" w:type="dxa"/>
            <w:vAlign w:val="center"/>
          </w:tcPr>
          <w:p w14:paraId="67713906" w14:textId="77777777" w:rsidR="00DA2522" w:rsidRDefault="00000000">
            <w:r>
              <w:rPr>
                <w:sz w:val="14"/>
              </w:rPr>
              <w:t>P1</w:t>
            </w:r>
          </w:p>
        </w:tc>
        <w:tc>
          <w:tcPr>
            <w:tcW w:w="3960" w:type="dxa"/>
            <w:vAlign w:val="center"/>
          </w:tcPr>
          <w:p w14:paraId="7DA59C47" w14:textId="77777777" w:rsidR="00DA2522" w:rsidRDefault="00000000">
            <w:r>
              <w:rPr>
                <w:sz w:val="14"/>
              </w:rPr>
              <w:t>Promotion to a reusable procedure/skill requires support threshold, regression validation, provenance, reversibility and dual control where the skill can act on client/market systems.</w:t>
            </w:r>
          </w:p>
        </w:tc>
        <w:tc>
          <w:tcPr>
            <w:tcW w:w="3024" w:type="dxa"/>
            <w:vAlign w:val="center"/>
          </w:tcPr>
          <w:p w14:paraId="55694EB8" w14:textId="77777777" w:rsidR="00DA2522" w:rsidRDefault="00000000">
            <w:r>
              <w:rPr>
                <w:sz w:val="14"/>
              </w:rPr>
              <w:t>NIST AI 100-2e2025 tool/supply-chain; C24 PROMOTE.</w:t>
            </w:r>
          </w:p>
        </w:tc>
      </w:tr>
      <w:tr w:rsidR="00DA2522" w14:paraId="274BACBA" w14:textId="77777777">
        <w:trPr>
          <w:jc w:val="center"/>
        </w:trPr>
        <w:tc>
          <w:tcPr>
            <w:tcW w:w="648" w:type="dxa"/>
            <w:vAlign w:val="center"/>
          </w:tcPr>
          <w:p w14:paraId="7D2796F2" w14:textId="77777777" w:rsidR="00DA2522" w:rsidRDefault="00000000">
            <w:r>
              <w:rPr>
                <w:sz w:val="14"/>
              </w:rPr>
              <w:t>C30</w:t>
            </w:r>
          </w:p>
        </w:tc>
        <w:tc>
          <w:tcPr>
            <w:tcW w:w="2088" w:type="dxa"/>
            <w:vAlign w:val="center"/>
          </w:tcPr>
          <w:p w14:paraId="72D6B021" w14:textId="77777777" w:rsidR="00DA2522" w:rsidRDefault="00000000">
            <w:r>
              <w:rPr>
                <w:sz w:val="14"/>
              </w:rPr>
              <w:t>Composition (context-assembly) leakage control</w:t>
            </w:r>
          </w:p>
        </w:tc>
        <w:tc>
          <w:tcPr>
            <w:tcW w:w="648" w:type="dxa"/>
            <w:vAlign w:val="center"/>
          </w:tcPr>
          <w:p w14:paraId="312FE9AF" w14:textId="77777777" w:rsidR="00DA2522" w:rsidRDefault="00000000">
            <w:r>
              <w:rPr>
                <w:sz w:val="14"/>
              </w:rPr>
              <w:t>P0*</w:t>
            </w:r>
          </w:p>
        </w:tc>
        <w:tc>
          <w:tcPr>
            <w:tcW w:w="3960" w:type="dxa"/>
            <w:vAlign w:val="center"/>
          </w:tcPr>
          <w:p w14:paraId="1624B69E" w14:textId="77777777" w:rsidR="00DA2522" w:rsidRDefault="00000000">
            <w:r>
              <w:rPr>
                <w:sz w:val="14"/>
              </w:rPr>
              <w:t>The set of memories injected into a prompt is checked as a set against barrier and purpose rules, not only item by item. *P0 where information barriers are in scope.</w:t>
            </w:r>
          </w:p>
        </w:tc>
        <w:tc>
          <w:tcPr>
            <w:tcW w:w="3024" w:type="dxa"/>
            <w:vAlign w:val="center"/>
          </w:tcPr>
          <w:p w14:paraId="197E8F49" w14:textId="77777777" w:rsidR="00DA2522" w:rsidRDefault="00000000">
            <w:r>
              <w:rPr>
                <w:sz w:val="14"/>
              </w:rPr>
              <w:t>GDPR Art. 5(1)(b); C19.</w:t>
            </w:r>
          </w:p>
        </w:tc>
      </w:tr>
      <w:tr w:rsidR="00DA2522" w14:paraId="00E0A3F2" w14:textId="77777777">
        <w:trPr>
          <w:jc w:val="center"/>
        </w:trPr>
        <w:tc>
          <w:tcPr>
            <w:tcW w:w="648" w:type="dxa"/>
            <w:vAlign w:val="center"/>
          </w:tcPr>
          <w:p w14:paraId="1D2E20CE" w14:textId="77777777" w:rsidR="00DA2522" w:rsidRDefault="00000000">
            <w:r>
              <w:rPr>
                <w:sz w:val="14"/>
              </w:rPr>
              <w:t>C31</w:t>
            </w:r>
          </w:p>
        </w:tc>
        <w:tc>
          <w:tcPr>
            <w:tcW w:w="2088" w:type="dxa"/>
            <w:vAlign w:val="center"/>
          </w:tcPr>
          <w:p w14:paraId="0DAD5262" w14:textId="77777777" w:rsidR="00DA2522" w:rsidRDefault="00000000">
            <w:r>
              <w:rPr>
                <w:sz w:val="14"/>
              </w:rPr>
              <w:t>Subject-facing transparency and rights notices</w:t>
            </w:r>
          </w:p>
        </w:tc>
        <w:tc>
          <w:tcPr>
            <w:tcW w:w="648" w:type="dxa"/>
            <w:vAlign w:val="center"/>
          </w:tcPr>
          <w:p w14:paraId="4D3E4162" w14:textId="77777777" w:rsidR="00DA2522" w:rsidRDefault="00000000">
            <w:r>
              <w:rPr>
                <w:sz w:val="14"/>
              </w:rPr>
              <w:t>P1*</w:t>
            </w:r>
          </w:p>
        </w:tc>
        <w:tc>
          <w:tcPr>
            <w:tcW w:w="3960" w:type="dxa"/>
            <w:vAlign w:val="center"/>
          </w:tcPr>
          <w:p w14:paraId="685F26E3" w14:textId="77777777" w:rsidR="00DA2522" w:rsidRDefault="00000000">
            <w:r>
              <w:rPr>
                <w:sz w:val="14"/>
              </w:rPr>
              <w:t>Notice, access-to-logic, opt-out/appeal and human-review paths for profiling and ADMT “significant decisions”, evidenced per record (notice_ref). *P0 where ADMT rules apply.</w:t>
            </w:r>
          </w:p>
        </w:tc>
        <w:tc>
          <w:tcPr>
            <w:tcW w:w="3024" w:type="dxa"/>
            <w:vAlign w:val="center"/>
          </w:tcPr>
          <w:p w14:paraId="2563CDF3" w14:textId="77777777" w:rsidR="00DA2522" w:rsidRDefault="00000000">
            <w:r>
              <w:rPr>
                <w:sz w:val="14"/>
              </w:rPr>
              <w:t>GDPR Arts. 13–15, 22; AI Act Arts. 13, 50; CPPA ADMT; Colorado SB 26-189.</w:t>
            </w:r>
          </w:p>
        </w:tc>
      </w:tr>
      <w:tr w:rsidR="00DA2522" w14:paraId="71639B4C" w14:textId="77777777">
        <w:trPr>
          <w:jc w:val="center"/>
        </w:trPr>
        <w:tc>
          <w:tcPr>
            <w:tcW w:w="648" w:type="dxa"/>
            <w:vAlign w:val="center"/>
          </w:tcPr>
          <w:p w14:paraId="44FE2506" w14:textId="77777777" w:rsidR="00DA2522" w:rsidRDefault="00000000">
            <w:r>
              <w:rPr>
                <w:sz w:val="14"/>
              </w:rPr>
              <w:t>C32</w:t>
            </w:r>
          </w:p>
        </w:tc>
        <w:tc>
          <w:tcPr>
            <w:tcW w:w="2088" w:type="dxa"/>
            <w:vAlign w:val="center"/>
          </w:tcPr>
          <w:p w14:paraId="64DF342A" w14:textId="77777777" w:rsidR="00DA2522" w:rsidRDefault="00000000">
            <w:r>
              <w:rPr>
                <w:sz w:val="14"/>
              </w:rPr>
              <w:t>Agent and non-human identity</w:t>
            </w:r>
          </w:p>
        </w:tc>
        <w:tc>
          <w:tcPr>
            <w:tcW w:w="648" w:type="dxa"/>
            <w:vAlign w:val="center"/>
          </w:tcPr>
          <w:p w14:paraId="61E12485" w14:textId="77777777" w:rsidR="00DA2522" w:rsidRDefault="00000000">
            <w:r>
              <w:rPr>
                <w:sz w:val="14"/>
              </w:rPr>
              <w:t>P0</w:t>
            </w:r>
          </w:p>
        </w:tc>
        <w:tc>
          <w:tcPr>
            <w:tcW w:w="3960" w:type="dxa"/>
            <w:vAlign w:val="center"/>
          </w:tcPr>
          <w:p w14:paraId="1542E66C" w14:textId="77777777" w:rsidR="00DA2522" w:rsidRDefault="00000000">
            <w:r>
              <w:rPr>
                <w:sz w:val="14"/>
              </w:rPr>
              <w:t>Every actor — user, agent, delegated sub-agent, background job, administrator — has an attestable identity; delegation chains are recorded in the audit trail.</w:t>
            </w:r>
          </w:p>
        </w:tc>
        <w:tc>
          <w:tcPr>
            <w:tcW w:w="3024" w:type="dxa"/>
            <w:vAlign w:val="center"/>
          </w:tcPr>
          <w:p w14:paraId="428E8A7C" w14:textId="77777777" w:rsidR="00DA2522" w:rsidRDefault="00000000">
            <w:r>
              <w:rPr>
                <w:sz w:val="14"/>
              </w:rPr>
              <w:t>NIST CAISI / NCCoE agent identity; DORA Art. 9.</w:t>
            </w:r>
          </w:p>
        </w:tc>
      </w:tr>
      <w:tr w:rsidR="00DA2522" w14:paraId="2918CB41" w14:textId="77777777">
        <w:trPr>
          <w:jc w:val="center"/>
        </w:trPr>
        <w:tc>
          <w:tcPr>
            <w:tcW w:w="648" w:type="dxa"/>
            <w:vAlign w:val="center"/>
          </w:tcPr>
          <w:p w14:paraId="1549B42A" w14:textId="77777777" w:rsidR="00DA2522" w:rsidRDefault="00000000">
            <w:r>
              <w:rPr>
                <w:sz w:val="14"/>
              </w:rPr>
              <w:t>C33</w:t>
            </w:r>
          </w:p>
        </w:tc>
        <w:tc>
          <w:tcPr>
            <w:tcW w:w="2088" w:type="dxa"/>
            <w:vAlign w:val="center"/>
          </w:tcPr>
          <w:p w14:paraId="479164FB" w14:textId="77777777" w:rsidR="00DA2522" w:rsidRDefault="00000000">
            <w:r>
              <w:rPr>
                <w:sz w:val="14"/>
              </w:rPr>
              <w:t>Backbone and model-change management</w:t>
            </w:r>
          </w:p>
        </w:tc>
        <w:tc>
          <w:tcPr>
            <w:tcW w:w="648" w:type="dxa"/>
            <w:vAlign w:val="center"/>
          </w:tcPr>
          <w:p w14:paraId="2FDBD417" w14:textId="77777777" w:rsidR="00DA2522" w:rsidRDefault="00000000">
            <w:r>
              <w:rPr>
                <w:sz w:val="14"/>
              </w:rPr>
              <w:t>P1</w:t>
            </w:r>
          </w:p>
        </w:tc>
        <w:tc>
          <w:tcPr>
            <w:tcW w:w="3960" w:type="dxa"/>
            <w:vAlign w:val="center"/>
          </w:tcPr>
          <w:p w14:paraId="1F644735" w14:textId="77777777" w:rsidR="00DA2522" w:rsidRDefault="00000000">
            <w:r>
              <w:rPr>
                <w:sz w:val="14"/>
              </w:rPr>
              <w:t>LLM/extractor/embedder/reranker changes are change-controlled events triggering re-embedding impact analysis and re-run of quality, isolation and security gates.</w:t>
            </w:r>
          </w:p>
        </w:tc>
        <w:tc>
          <w:tcPr>
            <w:tcW w:w="3024" w:type="dxa"/>
            <w:vAlign w:val="center"/>
          </w:tcPr>
          <w:p w14:paraId="650C6F5A" w14:textId="77777777" w:rsidR="00DA2522" w:rsidRDefault="00000000">
            <w:r>
              <w:rPr>
                <w:sz w:val="14"/>
              </w:rPr>
              <w:t>SR 26-2 change-management analogue; Section 14 re-run triggers.</w:t>
            </w:r>
          </w:p>
        </w:tc>
      </w:tr>
    </w:tbl>
    <w:p w14:paraId="373A443F" w14:textId="77777777" w:rsidR="00DA2522" w:rsidRDefault="00DA2522">
      <w:pPr>
        <w:spacing w:after="0"/>
      </w:pPr>
    </w:p>
    <w:p w14:paraId="5158F13D" w14:textId="77777777" w:rsidR="00DA2522" w:rsidRDefault="00000000">
      <w:pPr>
        <w:pStyle w:val="Heading2"/>
      </w:pPr>
      <w:r>
        <w:t>12.1 Controls added in design review (C28–C33)</w:t>
      </w:r>
    </w:p>
    <w:p w14:paraId="5C2B8E85" w14:textId="77777777" w:rsidR="00DA2522" w:rsidRDefault="00000000">
      <w:pPr>
        <w:spacing w:after="100" w:line="252" w:lineRule="auto"/>
      </w:pPr>
      <w:r>
        <w:t>Six gaps in the C1–C27 catalogue were identified when the framework was assessed against a realistic workload. They are proposed as additional controls:</w:t>
      </w:r>
    </w:p>
    <w:p w14:paraId="0E076A99" w14:textId="77777777" w:rsidR="00DA2522" w:rsidRDefault="00000000">
      <w:pPr>
        <w:pStyle w:val="ListBullet"/>
        <w:spacing w:after="60"/>
      </w:pPr>
      <w:r>
        <w:rPr>
          <w:b/>
        </w:rPr>
        <w:t xml:space="preserve">C28 Consolidation-job governance (P0). </w:t>
      </w:r>
      <w:r>
        <w:t>Background writers (summarisation, merge, supersession, promotion, scheduled reflection) operate as identified gateway actors with scoped operation permissions, budgets, and diff-and-approve for high-authority or barrier-scoped memory. Basis: AI Act Arts. 12, 14; AuthMem-Bench evidence; Section 9.1.</w:t>
      </w:r>
    </w:p>
    <w:p w14:paraId="4D9120BC" w14:textId="77777777" w:rsidR="00DA2522" w:rsidRDefault="00000000">
      <w:pPr>
        <w:pStyle w:val="ListBullet"/>
        <w:spacing w:after="60"/>
      </w:pPr>
      <w:r>
        <w:rPr>
          <w:b/>
        </w:rPr>
        <w:t xml:space="preserve">C29 Memory→skill promotion gate (P1). </w:t>
      </w:r>
      <w:r>
        <w:t>Procedural memory is executable and carries a distinct risk class. Promotion of a pattern to a reusable procedure/skill requires a support threshold (evidence_count), validation against a regression suite, provenance recording, reversibility, and dual control where the skill can act on client or market-facing systems. Basis: NIST AI 100-2e2025 supply-chain/tool attacks; C24 PROMOTE.</w:t>
      </w:r>
    </w:p>
    <w:p w14:paraId="53A1AC21" w14:textId="77777777" w:rsidR="00DA2522" w:rsidRDefault="00000000">
      <w:pPr>
        <w:pStyle w:val="ListBullet"/>
        <w:spacing w:after="60"/>
      </w:pPr>
      <w:r>
        <w:rPr>
          <w:b/>
        </w:rPr>
        <w:t xml:space="preserve">C30 Context-assembly (composition) leakage control (P0 for barrier-scoped deployments). </w:t>
      </w:r>
      <w:r>
        <w:t>A memory that is individually authorised may reveal a barrier-crossing inference when injected alongside others. Context assembly is a governed step: the set of memories injected into a prompt is checked as a set against barrier and purpose rules, not only item by item. Basis: GDPR Art. 5(1)(b), C19.</w:t>
      </w:r>
    </w:p>
    <w:p w14:paraId="7C55540A" w14:textId="77777777" w:rsidR="00DA2522" w:rsidRDefault="00000000">
      <w:pPr>
        <w:pStyle w:val="ListBullet"/>
        <w:spacing w:after="60"/>
      </w:pPr>
      <w:r>
        <w:rPr>
          <w:b/>
        </w:rPr>
        <w:t xml:space="preserve">C31 Subject-facing transparency and rights notices (P1; P0 where ADMT rules apply). </w:t>
      </w:r>
      <w:r>
        <w:t>The framework is internal-control heavy and light on notices. Where memory-driven processing constitutes profiling or an ADMT "significant decision," notice, access-to-logic, opt-out/appeal and human-review paths must exist and be evidenced per record (notice_ref). Basis: GDPR Arts. 13–15, 22; AI Act Arts. 13, 50; CPPA ADMT regulations; Colorado SB 26-189.</w:t>
      </w:r>
    </w:p>
    <w:p w14:paraId="7085EC9B" w14:textId="77777777" w:rsidR="00DA2522" w:rsidRDefault="00000000">
      <w:pPr>
        <w:pStyle w:val="ListBullet"/>
        <w:spacing w:after="60"/>
      </w:pPr>
      <w:r>
        <w:rPr>
          <w:b/>
        </w:rPr>
        <w:t xml:space="preserve">C32 Agent and non-human identity (P0). </w:t>
      </w:r>
      <w:r>
        <w:t>Every actor in the audit trail — user, agent, delegated sub-agent, background job, administrator — has a distinct, attestable identity; delegation chains are recorded so that "who wrote this" is answerable after multi-agent execution. Basis: NIST CAISI / NCCoE agent-identity concept paper; DORA Art. 9.</w:t>
      </w:r>
    </w:p>
    <w:p w14:paraId="5CD2E294" w14:textId="77777777" w:rsidR="00DA2522" w:rsidRDefault="00000000">
      <w:pPr>
        <w:pStyle w:val="ListBullet"/>
        <w:spacing w:after="60"/>
      </w:pPr>
      <w:r>
        <w:rPr>
          <w:b/>
        </w:rPr>
        <w:lastRenderedPageBreak/>
        <w:t xml:space="preserve">C33 Backbone and model-change management (P1). </w:t>
      </w:r>
      <w:r>
        <w:t>Memory quality is backbone-dependent; a change of LLM, extractor, embedder or reranker invalidates prior conformance results and may change embedding neighbourhoods so that existing restrictions no longer bind the same set. Model changes are change-controlled events that trigger re-embedding impact analysis and re-run of the memory-quality, isolation and security gates. Basis: SR 26-2 change-management principles; Section 14 re-run triggers.</w:t>
      </w:r>
    </w:p>
    <w:p w14:paraId="214B33BD" w14:textId="77777777" w:rsidR="00DA2522" w:rsidRDefault="00000000">
      <w:pPr>
        <w:spacing w:after="100" w:line="252" w:lineRule="auto"/>
      </w:pPr>
      <w:r>
        <w:t>Every control should also carry an accountable owner and an escalation path. The catalogue currently specifies what must be true; it does not yet specify who acts when the audit trail shows it is not. A RACI column is recommended for the specification.</w:t>
      </w:r>
    </w:p>
    <w:p w14:paraId="5D0CA9AF" w14:textId="77777777" w:rsidR="00DA2522" w:rsidRDefault="00000000">
      <w:pPr>
        <w:pStyle w:val="Heading2"/>
      </w:pPr>
      <w:r>
        <w:t>12.2 Minimum viable governed memory by scope tier</w:t>
      </w:r>
    </w:p>
    <w:p w14:paraId="49D6781D" w14:textId="77777777" w:rsidR="00DA2522" w:rsidRDefault="00000000">
      <w:pPr>
        <w:spacing w:after="100" w:line="252" w:lineRule="auto"/>
      </w:pPr>
      <w:r>
        <w:t>Fifteen P0 controls before any production use is comprehensive; it is also enough to prevent anything shipping. C12 (scope-tiered governance) should be used to cut the initial surface. For an internal-only, single-tenant, non-client pilot with no information barriers in scope, a minimum viable governed memory is: C1 lineage, C3 audit trail, C5 OSS governance, C11 provider pinning, C13 purpose binding, C17 tenant isolation, C24 lifecycle states, and C28 consolidation-job governance. Investment-workflow deployments add C19, C20, C21, C23, C30 and C32; client-facing or platform deployments add the full P0 set plus C31. Each tier's P0 list should be stated explicitly in the specification so that the pilot has a defined finish line.</w:t>
      </w:r>
    </w:p>
    <w:p w14:paraId="43CACCB2" w14:textId="77777777" w:rsidR="00DA2522" w:rsidRDefault="00000000">
      <w:pPr>
        <w:pStyle w:val="Heading1"/>
      </w:pPr>
      <w:r>
        <w:t>13. Memory-Specific Threat Model</w:t>
      </w:r>
    </w:p>
    <w:p w14:paraId="561BB289" w14:textId="77777777" w:rsidR="00DA2522" w:rsidRDefault="00000000">
      <w:pPr>
        <w:spacing w:after="100" w:line="252" w:lineRule="auto"/>
      </w:pPr>
      <w:r>
        <w:t>Generic AI security controls are necessary but insufficient because persistence changes the time horizon and propagation path of attacks.</w:t>
      </w:r>
    </w:p>
    <w:tbl>
      <w:tblPr>
        <w:tblStyle w:val="TableGrid"/>
        <w:tblW w:w="0" w:type="auto"/>
        <w:jc w:val="center"/>
        <w:tblLook w:val="04A0" w:firstRow="1" w:lastRow="0" w:firstColumn="1" w:lastColumn="0" w:noHBand="0" w:noVBand="1"/>
      </w:tblPr>
      <w:tblGrid>
        <w:gridCol w:w="2098"/>
        <w:gridCol w:w="4169"/>
        <w:gridCol w:w="3885"/>
      </w:tblGrid>
      <w:tr w:rsidR="00DA2522" w14:paraId="3E5CC9DA" w14:textId="77777777">
        <w:trPr>
          <w:jc w:val="center"/>
        </w:trPr>
        <w:tc>
          <w:tcPr>
            <w:tcW w:w="2160" w:type="dxa"/>
            <w:shd w:val="clear" w:color="auto" w:fill="173A5E"/>
            <w:vAlign w:val="center"/>
          </w:tcPr>
          <w:p w14:paraId="7F9D24DB" w14:textId="77777777" w:rsidR="00DA2522" w:rsidRDefault="00000000">
            <w:r>
              <w:rPr>
                <w:b/>
                <w:color w:val="FFFFFF"/>
                <w:sz w:val="16"/>
              </w:rPr>
              <w:t>Threat class</w:t>
            </w:r>
          </w:p>
        </w:tc>
        <w:tc>
          <w:tcPr>
            <w:tcW w:w="4320" w:type="dxa"/>
            <w:shd w:val="clear" w:color="auto" w:fill="173A5E"/>
            <w:vAlign w:val="center"/>
          </w:tcPr>
          <w:p w14:paraId="4A9BE5C3" w14:textId="77777777" w:rsidR="00DA2522" w:rsidRDefault="00000000">
            <w:r>
              <w:rPr>
                <w:b/>
                <w:color w:val="FFFFFF"/>
                <w:sz w:val="16"/>
              </w:rPr>
              <w:t>Example</w:t>
            </w:r>
          </w:p>
        </w:tc>
        <w:tc>
          <w:tcPr>
            <w:tcW w:w="4032" w:type="dxa"/>
            <w:shd w:val="clear" w:color="auto" w:fill="173A5E"/>
            <w:vAlign w:val="center"/>
          </w:tcPr>
          <w:p w14:paraId="59CA3B96" w14:textId="77777777" w:rsidR="00DA2522" w:rsidRDefault="00000000">
            <w:r>
              <w:rPr>
                <w:b/>
                <w:color w:val="FFFFFF"/>
                <w:sz w:val="16"/>
              </w:rPr>
              <w:t>Required test/control</w:t>
            </w:r>
          </w:p>
        </w:tc>
      </w:tr>
      <w:tr w:rsidR="00DA2522" w14:paraId="2A702B32" w14:textId="77777777">
        <w:trPr>
          <w:jc w:val="center"/>
        </w:trPr>
        <w:tc>
          <w:tcPr>
            <w:tcW w:w="2160" w:type="dxa"/>
            <w:vAlign w:val="center"/>
          </w:tcPr>
          <w:p w14:paraId="08B87A4E" w14:textId="77777777" w:rsidR="00DA2522" w:rsidRDefault="00000000">
            <w:r>
              <w:rPr>
                <w:sz w:val="16"/>
              </w:rPr>
              <w:t>Write-path poisoning</w:t>
            </w:r>
          </w:p>
        </w:tc>
        <w:tc>
          <w:tcPr>
            <w:tcW w:w="4320" w:type="dxa"/>
            <w:vAlign w:val="center"/>
          </w:tcPr>
          <w:p w14:paraId="2838A81A" w14:textId="77777777" w:rsidR="00DA2522" w:rsidRDefault="00000000">
            <w:r>
              <w:rPr>
                <w:sz w:val="16"/>
              </w:rPr>
              <w:t>Untrusted webpage or user text causes a malicious instruction/fact to become durable memory.</w:t>
            </w:r>
          </w:p>
        </w:tc>
        <w:tc>
          <w:tcPr>
            <w:tcW w:w="4032" w:type="dxa"/>
            <w:vAlign w:val="center"/>
          </w:tcPr>
          <w:p w14:paraId="2095B5E7" w14:textId="77777777" w:rsidR="00DA2522" w:rsidRDefault="00000000">
            <w:r>
              <w:rPr>
                <w:sz w:val="16"/>
              </w:rPr>
              <w:t>Trust/sensitivity gate; provenance; untrusted-source policy; adversarial ingestion tests.</w:t>
            </w:r>
          </w:p>
        </w:tc>
      </w:tr>
      <w:tr w:rsidR="00DA2522" w14:paraId="66506D4A" w14:textId="77777777">
        <w:trPr>
          <w:jc w:val="center"/>
        </w:trPr>
        <w:tc>
          <w:tcPr>
            <w:tcW w:w="2160" w:type="dxa"/>
            <w:shd w:val="clear" w:color="auto" w:fill="F3F6F9"/>
            <w:vAlign w:val="center"/>
          </w:tcPr>
          <w:p w14:paraId="2C35F38F" w14:textId="77777777" w:rsidR="00DA2522" w:rsidRDefault="00000000">
            <w:r>
              <w:rPr>
                <w:sz w:val="16"/>
              </w:rPr>
              <w:t>Prompt-to-query / graph injection</w:t>
            </w:r>
          </w:p>
        </w:tc>
        <w:tc>
          <w:tcPr>
            <w:tcW w:w="4320" w:type="dxa"/>
            <w:shd w:val="clear" w:color="auto" w:fill="F3F6F9"/>
            <w:vAlign w:val="center"/>
          </w:tcPr>
          <w:p w14:paraId="2CCD78FC" w14:textId="77777777" w:rsidR="00DA2522" w:rsidRDefault="00000000">
            <w:r>
              <w:rPr>
                <w:sz w:val="16"/>
              </w:rPr>
              <w:t>Prompt injection steers an agent to issue malicious graph/search arguments.</w:t>
            </w:r>
          </w:p>
        </w:tc>
        <w:tc>
          <w:tcPr>
            <w:tcW w:w="4032" w:type="dxa"/>
            <w:shd w:val="clear" w:color="auto" w:fill="F3F6F9"/>
            <w:vAlign w:val="center"/>
          </w:tcPr>
          <w:p w14:paraId="61A732B0" w14:textId="77777777" w:rsidR="00DA2522" w:rsidRDefault="00000000">
            <w:r>
              <w:rPr>
                <w:sz w:val="16"/>
              </w:rPr>
              <w:t>Input validation, parameterization, least-privilege DB credentials, tool authorization, patched dependencies.</w:t>
            </w:r>
          </w:p>
        </w:tc>
      </w:tr>
      <w:tr w:rsidR="00DA2522" w14:paraId="4E45AD06" w14:textId="77777777">
        <w:trPr>
          <w:jc w:val="center"/>
        </w:trPr>
        <w:tc>
          <w:tcPr>
            <w:tcW w:w="2160" w:type="dxa"/>
            <w:vAlign w:val="center"/>
          </w:tcPr>
          <w:p w14:paraId="367DAA8B" w14:textId="77777777" w:rsidR="00DA2522" w:rsidRDefault="00000000">
            <w:r>
              <w:rPr>
                <w:sz w:val="16"/>
              </w:rPr>
              <w:t>Cross-tenant leakage</w:t>
            </w:r>
          </w:p>
        </w:tc>
        <w:tc>
          <w:tcPr>
            <w:tcW w:w="4320" w:type="dxa"/>
            <w:vAlign w:val="center"/>
          </w:tcPr>
          <w:p w14:paraId="0E04573D" w14:textId="77777777" w:rsidR="00DA2522" w:rsidRDefault="00000000">
            <w:r>
              <w:rPr>
                <w:sz w:val="16"/>
              </w:rPr>
              <w:t>Memory from one user/client is retrieved by another due to namespace/filter/cache error.</w:t>
            </w:r>
          </w:p>
        </w:tc>
        <w:tc>
          <w:tcPr>
            <w:tcW w:w="4032" w:type="dxa"/>
            <w:vAlign w:val="center"/>
          </w:tcPr>
          <w:p w14:paraId="5793703D" w14:textId="77777777" w:rsidR="00DA2522" w:rsidRDefault="00000000">
            <w:r>
              <w:rPr>
                <w:sz w:val="16"/>
              </w:rPr>
              <w:t>Semantic isolation tests at every retrieval layer; hard tenant scopes.</w:t>
            </w:r>
          </w:p>
        </w:tc>
      </w:tr>
      <w:tr w:rsidR="00DA2522" w14:paraId="7A0E6CF9" w14:textId="77777777">
        <w:trPr>
          <w:jc w:val="center"/>
        </w:trPr>
        <w:tc>
          <w:tcPr>
            <w:tcW w:w="2160" w:type="dxa"/>
            <w:shd w:val="clear" w:color="auto" w:fill="F3F6F9"/>
            <w:vAlign w:val="center"/>
          </w:tcPr>
          <w:p w14:paraId="620BA95A" w14:textId="77777777" w:rsidR="00DA2522" w:rsidRDefault="00000000">
            <w:r>
              <w:rPr>
                <w:sz w:val="16"/>
              </w:rPr>
              <w:t>Unauthorized inference</w:t>
            </w:r>
          </w:p>
        </w:tc>
        <w:tc>
          <w:tcPr>
            <w:tcW w:w="4320" w:type="dxa"/>
            <w:shd w:val="clear" w:color="auto" w:fill="F3F6F9"/>
            <w:vAlign w:val="center"/>
          </w:tcPr>
          <w:p w14:paraId="746CCA4B" w14:textId="77777777" w:rsidR="00DA2522" w:rsidRDefault="00000000">
            <w:r>
              <w:rPr>
                <w:sz w:val="16"/>
              </w:rPr>
              <w:t>Agent derives sensitive or restricted facts from benign observations.</w:t>
            </w:r>
          </w:p>
        </w:tc>
        <w:tc>
          <w:tcPr>
            <w:tcW w:w="4032" w:type="dxa"/>
            <w:shd w:val="clear" w:color="auto" w:fill="F3F6F9"/>
            <w:vAlign w:val="center"/>
          </w:tcPr>
          <w:p w14:paraId="0C998EF8" w14:textId="77777777" w:rsidR="00DA2522" w:rsidRDefault="00000000">
            <w:r>
              <w:rPr>
                <w:sz w:val="16"/>
              </w:rPr>
              <w:t>Derivation classification; protected/sensitive inference rules; confidence/authority thresholds.</w:t>
            </w:r>
          </w:p>
        </w:tc>
      </w:tr>
      <w:tr w:rsidR="00DA2522" w14:paraId="3A965E6D" w14:textId="77777777">
        <w:trPr>
          <w:jc w:val="center"/>
        </w:trPr>
        <w:tc>
          <w:tcPr>
            <w:tcW w:w="2160" w:type="dxa"/>
            <w:vAlign w:val="center"/>
          </w:tcPr>
          <w:p w14:paraId="16778518" w14:textId="77777777" w:rsidR="00DA2522" w:rsidRDefault="00000000">
            <w:r>
              <w:rPr>
                <w:sz w:val="16"/>
              </w:rPr>
              <w:t>Persistence attack</w:t>
            </w:r>
          </w:p>
        </w:tc>
        <w:tc>
          <w:tcPr>
            <w:tcW w:w="4320" w:type="dxa"/>
            <w:vAlign w:val="center"/>
          </w:tcPr>
          <w:p w14:paraId="0239AE22" w14:textId="77777777" w:rsidR="00DA2522" w:rsidRDefault="00000000">
            <w:r>
              <w:rPr>
                <w:sz w:val="16"/>
              </w:rPr>
              <w:t>Poisoned memory remains after apparent deletion/correction or is restored from backup.</w:t>
            </w:r>
          </w:p>
        </w:tc>
        <w:tc>
          <w:tcPr>
            <w:tcW w:w="4032" w:type="dxa"/>
            <w:vAlign w:val="center"/>
          </w:tcPr>
          <w:p w14:paraId="79D9FB9B" w14:textId="77777777" w:rsidR="00DA2522" w:rsidRDefault="00000000">
            <w:r>
              <w:rPr>
                <w:sz w:val="16"/>
              </w:rPr>
              <w:t>End-to-end delete verification; backup/restore controls; lineage traversal.</w:t>
            </w:r>
          </w:p>
        </w:tc>
      </w:tr>
      <w:tr w:rsidR="00DA2522" w14:paraId="52FBD35C" w14:textId="77777777">
        <w:trPr>
          <w:jc w:val="center"/>
        </w:trPr>
        <w:tc>
          <w:tcPr>
            <w:tcW w:w="2160" w:type="dxa"/>
            <w:shd w:val="clear" w:color="auto" w:fill="F3F6F9"/>
            <w:vAlign w:val="center"/>
          </w:tcPr>
          <w:p w14:paraId="35B14268" w14:textId="77777777" w:rsidR="00DA2522" w:rsidRDefault="00000000">
            <w:r>
              <w:rPr>
                <w:sz w:val="16"/>
              </w:rPr>
              <w:t>Memory amplification</w:t>
            </w:r>
          </w:p>
        </w:tc>
        <w:tc>
          <w:tcPr>
            <w:tcW w:w="4320" w:type="dxa"/>
            <w:shd w:val="clear" w:color="auto" w:fill="F3F6F9"/>
            <w:vAlign w:val="center"/>
          </w:tcPr>
          <w:p w14:paraId="6C4D5C35" w14:textId="77777777" w:rsidR="00DA2522" w:rsidRDefault="00000000">
            <w:r>
              <w:rPr>
                <w:sz w:val="16"/>
              </w:rPr>
              <w:t>One incorrect memory generates many downstream summaries/edges/skills.</w:t>
            </w:r>
          </w:p>
        </w:tc>
        <w:tc>
          <w:tcPr>
            <w:tcW w:w="4032" w:type="dxa"/>
            <w:shd w:val="clear" w:color="auto" w:fill="F3F6F9"/>
            <w:vAlign w:val="center"/>
          </w:tcPr>
          <w:p w14:paraId="6ED74195" w14:textId="77777777" w:rsidR="00DA2522" w:rsidRDefault="00000000">
            <w:r>
              <w:rPr>
                <w:sz w:val="16"/>
              </w:rPr>
              <w:t>Dependency graph, propagation limits, validation before promotion, rollback.</w:t>
            </w:r>
          </w:p>
        </w:tc>
      </w:tr>
      <w:tr w:rsidR="00DA2522" w14:paraId="333954B3" w14:textId="77777777">
        <w:trPr>
          <w:jc w:val="center"/>
        </w:trPr>
        <w:tc>
          <w:tcPr>
            <w:tcW w:w="2160" w:type="dxa"/>
            <w:vAlign w:val="center"/>
          </w:tcPr>
          <w:p w14:paraId="21E84F5C" w14:textId="77777777" w:rsidR="00DA2522" w:rsidRDefault="00000000">
            <w:r>
              <w:rPr>
                <w:sz w:val="16"/>
              </w:rPr>
              <w:t>Staleness / supersession failure</w:t>
            </w:r>
          </w:p>
        </w:tc>
        <w:tc>
          <w:tcPr>
            <w:tcW w:w="4320" w:type="dxa"/>
            <w:vAlign w:val="center"/>
          </w:tcPr>
          <w:p w14:paraId="68393537" w14:textId="77777777" w:rsidR="00DA2522" w:rsidRDefault="00000000">
            <w:r>
              <w:rPr>
                <w:sz w:val="16"/>
              </w:rPr>
              <w:t>Expired preference or obsolete instruction remains active.</w:t>
            </w:r>
          </w:p>
        </w:tc>
        <w:tc>
          <w:tcPr>
            <w:tcW w:w="4032" w:type="dxa"/>
            <w:vAlign w:val="center"/>
          </w:tcPr>
          <w:p w14:paraId="75BB730B" w14:textId="77777777" w:rsidR="00DA2522" w:rsidRDefault="00000000">
            <w:r>
              <w:rPr>
                <w:sz w:val="16"/>
              </w:rPr>
              <w:t>Temporal validity, lifecycle state, freshness monitoring, source authority.</w:t>
            </w:r>
          </w:p>
        </w:tc>
      </w:tr>
      <w:tr w:rsidR="00DA2522" w14:paraId="1D92E0AD" w14:textId="77777777">
        <w:trPr>
          <w:jc w:val="center"/>
        </w:trPr>
        <w:tc>
          <w:tcPr>
            <w:tcW w:w="2160" w:type="dxa"/>
            <w:shd w:val="clear" w:color="auto" w:fill="F3F6F9"/>
            <w:vAlign w:val="center"/>
          </w:tcPr>
          <w:p w14:paraId="3973197D" w14:textId="77777777" w:rsidR="00DA2522" w:rsidRDefault="00000000">
            <w:r>
              <w:rPr>
                <w:sz w:val="16"/>
              </w:rPr>
              <w:t>Provider egress</w:t>
            </w:r>
          </w:p>
        </w:tc>
        <w:tc>
          <w:tcPr>
            <w:tcW w:w="4320" w:type="dxa"/>
            <w:shd w:val="clear" w:color="auto" w:fill="F3F6F9"/>
            <w:vAlign w:val="center"/>
          </w:tcPr>
          <w:p w14:paraId="0FA5AEAC" w14:textId="77777777" w:rsidR="00DA2522" w:rsidRDefault="00000000">
            <w:r>
              <w:rPr>
                <w:sz w:val="16"/>
              </w:rPr>
              <w:t>Library sends memory content to unapproved LLM/embedder/telemetry endpoint.</w:t>
            </w:r>
          </w:p>
        </w:tc>
        <w:tc>
          <w:tcPr>
            <w:tcW w:w="4032" w:type="dxa"/>
            <w:shd w:val="clear" w:color="auto" w:fill="F3F6F9"/>
            <w:vAlign w:val="center"/>
          </w:tcPr>
          <w:p w14:paraId="622AC34A" w14:textId="77777777" w:rsidR="00DA2522" w:rsidRDefault="00000000">
            <w:r>
              <w:rPr>
                <w:sz w:val="16"/>
              </w:rPr>
              <w:t>Network allowlists, provider pinning, region controls, egress tests.</w:t>
            </w:r>
          </w:p>
        </w:tc>
      </w:tr>
      <w:tr w:rsidR="00DA2522" w14:paraId="1E5CF1B0" w14:textId="77777777">
        <w:trPr>
          <w:jc w:val="center"/>
        </w:trPr>
        <w:tc>
          <w:tcPr>
            <w:tcW w:w="2160" w:type="dxa"/>
            <w:vAlign w:val="center"/>
          </w:tcPr>
          <w:p w14:paraId="26C20AD1" w14:textId="77777777" w:rsidR="00DA2522" w:rsidRDefault="00000000">
            <w:r>
              <w:rPr>
                <w:sz w:val="16"/>
              </w:rPr>
              <w:t>Availability / concentration</w:t>
            </w:r>
          </w:p>
        </w:tc>
        <w:tc>
          <w:tcPr>
            <w:tcW w:w="4320" w:type="dxa"/>
            <w:vAlign w:val="center"/>
          </w:tcPr>
          <w:p w14:paraId="7D25AFB7" w14:textId="77777777" w:rsidR="00DA2522" w:rsidRDefault="00000000">
            <w:r>
              <w:rPr>
                <w:sz w:val="16"/>
              </w:rPr>
              <w:t>Common memory backend outage or vendor failure affects many agents.</w:t>
            </w:r>
          </w:p>
        </w:tc>
        <w:tc>
          <w:tcPr>
            <w:tcW w:w="4032" w:type="dxa"/>
            <w:vAlign w:val="center"/>
          </w:tcPr>
          <w:p w14:paraId="29D2FDBC" w14:textId="77777777" w:rsidR="00DA2522" w:rsidRDefault="00000000">
            <w:r>
              <w:rPr>
                <w:sz w:val="16"/>
              </w:rPr>
              <w:t>Failover/degraded modes, portable schema, tested exit strategy, dependency concentration metrics.</w:t>
            </w:r>
          </w:p>
        </w:tc>
      </w:tr>
      <w:tr w:rsidR="002F526A" w14:paraId="278BFDED" w14:textId="77777777">
        <w:trPr>
          <w:jc w:val="center"/>
        </w:trPr>
        <w:tc>
          <w:tcPr>
            <w:tcW w:w="2160" w:type="dxa"/>
            <w:vAlign w:val="center"/>
          </w:tcPr>
          <w:p w14:paraId="1638C84E" w14:textId="0994E4E1" w:rsidR="002F526A" w:rsidRDefault="002F526A">
            <w:pPr>
              <w:rPr>
                <w:sz w:val="16"/>
              </w:rPr>
            </w:pPr>
            <w:r>
              <w:rPr>
                <w:sz w:val="16"/>
              </w:rPr>
              <w:t>Bias contagion</w:t>
            </w:r>
          </w:p>
        </w:tc>
        <w:tc>
          <w:tcPr>
            <w:tcW w:w="4320" w:type="dxa"/>
            <w:vAlign w:val="center"/>
          </w:tcPr>
          <w:p w14:paraId="1B691388" w14:textId="67E76309" w:rsidR="002F526A" w:rsidRDefault="002F526A">
            <w:pPr>
              <w:rPr>
                <w:sz w:val="16"/>
              </w:rPr>
            </w:pPr>
            <w:r>
              <w:rPr>
                <w:sz w:val="16"/>
              </w:rPr>
              <w:t xml:space="preserve">Evaluator or source bias present in the underlying experience stream </w:t>
            </w:r>
            <w:proofErr w:type="spellStart"/>
            <w:r>
              <w:rPr>
                <w:sz w:val="16"/>
              </w:rPr>
              <w:t>propogates</w:t>
            </w:r>
            <w:proofErr w:type="spellEnd"/>
            <w:r>
              <w:rPr>
                <w:sz w:val="16"/>
              </w:rPr>
              <w:t xml:space="preserve"> through memory even when the consolidation mechanism itself performs perfectly (an “oracle” condition)</w:t>
            </w:r>
          </w:p>
        </w:tc>
        <w:tc>
          <w:tcPr>
            <w:tcW w:w="4032" w:type="dxa"/>
            <w:vAlign w:val="center"/>
          </w:tcPr>
          <w:p w14:paraId="291F0EEA" w14:textId="1335DB3C" w:rsidR="002F526A" w:rsidRDefault="002F526A">
            <w:pPr>
              <w:rPr>
                <w:sz w:val="16"/>
              </w:rPr>
            </w:pPr>
            <w:r>
              <w:rPr>
                <w:sz w:val="16"/>
              </w:rPr>
              <w:t>Sample and test the upstream experience/evaluation stream.</w:t>
            </w:r>
          </w:p>
        </w:tc>
      </w:tr>
    </w:tbl>
    <w:p w14:paraId="6EB09EFD" w14:textId="77777777" w:rsidR="00DA2522" w:rsidRDefault="00000000">
      <w:pPr>
        <w:spacing w:after="100" w:line="252" w:lineRule="auto"/>
      </w:pPr>
      <w:r>
        <w:t xml:space="preserve">A related and distinct risk not fully captured by the poisoning/staleness/amplification classes above is </w:t>
      </w:r>
      <w:r>
        <w:rPr>
          <w:i/>
        </w:rPr>
        <w:t xml:space="preserve">bias contagion through unbiased consolidation. </w:t>
      </w:r>
      <w:r>
        <w:t xml:space="preserve">Recent research ("Memory Contagion") demonstrates that evaluator or source bias present in the underlying experience stream propagates through memory even when the consolidation mechanism itself performs perfectly (an "oracle" condition), with contamination detectable at rates as low as 20% and no observed safe threshold. [R29] The practical implication is that C6 drift/quality monitoring cannot rely on validating the consolidation mechanism alone; it must also sample and test the upstream experience/evaluation stream, since a technically correct consolidator will faithfully preserve and propagate bias that was already present in what it was given to consolidate. ENISA's autonomous-agent threat taxonomy independently lists "data poisoning through memory" alongside identity spoofing and privilege escalation, and the forthcoming prEN 18282 </w:t>
      </w:r>
      <w:r>
        <w:lastRenderedPageBreak/>
        <w:t>cybersecurity standard is scoped to those concerns; the threat classes above should be cross-referenced to both when the specification is drafted. [R43]</w:t>
      </w:r>
    </w:p>
    <w:p w14:paraId="08D036A4" w14:textId="77777777" w:rsidR="00DA2522" w:rsidRDefault="00000000">
      <w:pPr>
        <w:pStyle w:val="Heading2"/>
      </w:pPr>
      <w:r>
        <w:t>13.1 Threat model as an interface × actor matrix</w:t>
      </w:r>
    </w:p>
    <w:p w14:paraId="36CCE641" w14:textId="77777777" w:rsidR="00DA2522" w:rsidRDefault="00000000">
      <w:pPr>
        <w:spacing w:after="100" w:line="252" w:lineRule="auto"/>
      </w:pPr>
      <w:r>
        <w:t>The threat classes above are well chosen but are a list. For the specification they should be restructured as a matrix of the three memory interfaces (ingestion, consolidation, retrieval/use) against actors (end user, agent, delegated sub-agent, background job, administrator, external content), with stated attacker capabilities: external adversary via content, malicious or negligent insider, compromised agent identity, compromised backend or provider. Populating that matrix surfaces threats the list does not yet contain:</w:t>
      </w:r>
    </w:p>
    <w:p w14:paraId="6DAA19B0" w14:textId="77777777" w:rsidR="00DA2522" w:rsidRDefault="00000000">
      <w:pPr>
        <w:pStyle w:val="ListBullet"/>
        <w:spacing w:after="60"/>
      </w:pPr>
      <w:r>
        <w:rPr>
          <w:b/>
        </w:rPr>
        <w:t xml:space="preserve">Consolidation-time attacks. </w:t>
      </w:r>
      <w:r>
        <w:t>Safety-memory dilution (injecting near-duplicates so consolidation merges or prunes a safety-critical memory) and authority escalation during merge.</w:t>
      </w:r>
    </w:p>
    <w:p w14:paraId="31A8591E" w14:textId="77777777" w:rsidR="00DA2522" w:rsidRDefault="00000000">
      <w:pPr>
        <w:pStyle w:val="ListBullet"/>
        <w:spacing w:after="60"/>
      </w:pPr>
      <w:r>
        <w:rPr>
          <w:b/>
        </w:rPr>
        <w:t xml:space="preserve">Confused deputy across delegating agents. </w:t>
      </w:r>
      <w:r>
        <w:t>A low-privilege agent induces a higher-privilege agent to retrieve or write on its behalf; mitigated by C32 identity and C23 per-operation authorisation.</w:t>
      </w:r>
    </w:p>
    <w:p w14:paraId="226FA832" w14:textId="77777777" w:rsidR="00DA2522" w:rsidRDefault="00000000">
      <w:pPr>
        <w:pStyle w:val="ListBullet"/>
        <w:spacing w:after="60"/>
      </w:pPr>
      <w:r>
        <w:rPr>
          <w:b/>
        </w:rPr>
        <w:t xml:space="preserve">Inference attacks on the store itself. </w:t>
      </w:r>
      <w:r>
        <w:t>Membership inference and embedding inversion against vector representations (the Ghost Vectors class), and de-aggregation of anonymised summaries — now explicitly flagged by EDPB Guidelines 02/2026.</w:t>
      </w:r>
    </w:p>
    <w:p w14:paraId="309446E7" w14:textId="77777777" w:rsidR="00DA2522" w:rsidRDefault="00000000">
      <w:pPr>
        <w:pStyle w:val="ListBullet"/>
        <w:spacing w:after="60"/>
      </w:pPr>
      <w:r>
        <w:rPr>
          <w:b/>
        </w:rPr>
        <w:t xml:space="preserve">Extractor-prompt injection. </w:t>
      </w:r>
      <w:r>
        <w:t>An attack on what gets written rather than what gets retrieved: crafted content steers the extraction LLM into producing malicious entities, edges or assertion types. Upstream of every other control.</w:t>
      </w:r>
    </w:p>
    <w:p w14:paraId="4370E35C" w14:textId="77777777" w:rsidR="00DA2522" w:rsidRDefault="00000000">
      <w:pPr>
        <w:pStyle w:val="ListBullet"/>
        <w:spacing w:after="60"/>
      </w:pPr>
      <w:r>
        <w:rPr>
          <w:b/>
        </w:rPr>
        <w:t xml:space="preserve">Poisoning by volume / denial of memory. </w:t>
      </w:r>
      <w:r>
        <w:t>Flooding a namespace to crowd out legitimate memory, exhaust budgets, or force premature expiry.</w:t>
      </w:r>
    </w:p>
    <w:p w14:paraId="5CCF1949" w14:textId="77777777" w:rsidR="00DA2522" w:rsidRDefault="00000000">
      <w:pPr>
        <w:pStyle w:val="ListBullet"/>
        <w:spacing w:after="60"/>
      </w:pPr>
      <w:r>
        <w:rPr>
          <w:b/>
        </w:rPr>
        <w:t xml:space="preserve">Re-embedding drift. </w:t>
      </w:r>
      <w:r>
        <w:t>A model upgrade changes neighbourhoods so that scoping filters and restrictions computed under the old embedding no longer bind the same records (C33).</w:t>
      </w:r>
    </w:p>
    <w:p w14:paraId="1009EFB2" w14:textId="77777777" w:rsidR="00DA2522" w:rsidRDefault="00000000">
      <w:pPr>
        <w:pStyle w:val="ListBullet"/>
        <w:spacing w:after="60"/>
      </w:pPr>
      <w:r>
        <w:rPr>
          <w:b/>
        </w:rPr>
        <w:t xml:space="preserve">Audit-trail tampering and log-based leakage. </w:t>
      </w:r>
      <w:r>
        <w:t>The audit trail is both a target and a potential shadow copy of sensitive content (C3).</w:t>
      </w:r>
    </w:p>
    <w:p w14:paraId="683D41E6" w14:textId="77777777" w:rsidR="00DA2522" w:rsidRDefault="00000000">
      <w:pPr>
        <w:spacing w:after="100" w:line="252" w:lineRule="auto"/>
      </w:pPr>
      <w:r>
        <w:t>Populated matrix (assumed attacker capabilities: external adversary via content; malicious or negligent insider; compromised agent identity; compromised backend or provider). Every cell maps to at least one named test in Section 14.</w:t>
      </w:r>
    </w:p>
    <w:tbl>
      <w:tblPr>
        <w:tblStyle w:val="TableGrid"/>
        <w:tblW w:w="0" w:type="auto"/>
        <w:jc w:val="center"/>
        <w:tblLook w:val="04A0" w:firstRow="1" w:lastRow="0" w:firstColumn="1" w:lastColumn="0" w:noHBand="0" w:noVBand="1"/>
      </w:tblPr>
      <w:tblGrid>
        <w:gridCol w:w="1466"/>
        <w:gridCol w:w="1727"/>
        <w:gridCol w:w="1741"/>
        <w:gridCol w:w="1746"/>
        <w:gridCol w:w="1734"/>
        <w:gridCol w:w="1738"/>
      </w:tblGrid>
      <w:tr w:rsidR="00DA2522" w14:paraId="62CD8D35" w14:textId="77777777">
        <w:trPr>
          <w:jc w:val="center"/>
        </w:trPr>
        <w:tc>
          <w:tcPr>
            <w:tcW w:w="1500" w:type="dxa"/>
            <w:shd w:val="clear" w:color="auto" w:fill="173A5E"/>
            <w:vAlign w:val="center"/>
          </w:tcPr>
          <w:p w14:paraId="11160447" w14:textId="77777777" w:rsidR="00DA2522" w:rsidRDefault="00000000">
            <w:r>
              <w:rPr>
                <w:b/>
                <w:color w:val="FFFFFF"/>
                <w:sz w:val="16"/>
              </w:rPr>
              <w:t>Interface</w:t>
            </w:r>
          </w:p>
        </w:tc>
        <w:tc>
          <w:tcPr>
            <w:tcW w:w="1800" w:type="dxa"/>
            <w:shd w:val="clear" w:color="auto" w:fill="173A5E"/>
            <w:vAlign w:val="center"/>
          </w:tcPr>
          <w:p w14:paraId="14AEC49A" w14:textId="77777777" w:rsidR="00DA2522" w:rsidRDefault="00000000">
            <w:r>
              <w:rPr>
                <w:b/>
                <w:color w:val="FFFFFF"/>
                <w:sz w:val="16"/>
              </w:rPr>
              <w:t>External content</w:t>
            </w:r>
          </w:p>
        </w:tc>
        <w:tc>
          <w:tcPr>
            <w:tcW w:w="1800" w:type="dxa"/>
            <w:shd w:val="clear" w:color="auto" w:fill="173A5E"/>
            <w:vAlign w:val="center"/>
          </w:tcPr>
          <w:p w14:paraId="0FB91340" w14:textId="77777777" w:rsidR="00DA2522" w:rsidRDefault="00000000">
            <w:r>
              <w:rPr>
                <w:b/>
                <w:color w:val="FFFFFF"/>
                <w:sz w:val="16"/>
              </w:rPr>
              <w:t>Agent / sub-agent</w:t>
            </w:r>
          </w:p>
        </w:tc>
        <w:tc>
          <w:tcPr>
            <w:tcW w:w="1800" w:type="dxa"/>
            <w:shd w:val="clear" w:color="auto" w:fill="173A5E"/>
            <w:vAlign w:val="center"/>
          </w:tcPr>
          <w:p w14:paraId="4A2446C8" w14:textId="77777777" w:rsidR="00DA2522" w:rsidRDefault="00000000">
            <w:r>
              <w:rPr>
                <w:b/>
                <w:color w:val="FFFFFF"/>
                <w:sz w:val="16"/>
              </w:rPr>
              <w:t>Background job</w:t>
            </w:r>
          </w:p>
        </w:tc>
        <w:tc>
          <w:tcPr>
            <w:tcW w:w="1800" w:type="dxa"/>
            <w:shd w:val="clear" w:color="auto" w:fill="173A5E"/>
            <w:vAlign w:val="center"/>
          </w:tcPr>
          <w:p w14:paraId="6CBC39E6" w14:textId="77777777" w:rsidR="00DA2522" w:rsidRDefault="00000000">
            <w:r>
              <w:rPr>
                <w:b/>
                <w:color w:val="FFFFFF"/>
                <w:sz w:val="16"/>
              </w:rPr>
              <w:t>Admin / insider</w:t>
            </w:r>
          </w:p>
        </w:tc>
        <w:tc>
          <w:tcPr>
            <w:tcW w:w="1800" w:type="dxa"/>
            <w:shd w:val="clear" w:color="auto" w:fill="173A5E"/>
            <w:vAlign w:val="center"/>
          </w:tcPr>
          <w:p w14:paraId="0C062531" w14:textId="77777777" w:rsidR="00DA2522" w:rsidRDefault="00000000">
            <w:r>
              <w:rPr>
                <w:b/>
                <w:color w:val="FFFFFF"/>
                <w:sz w:val="16"/>
              </w:rPr>
              <w:t>Backend / provider</w:t>
            </w:r>
          </w:p>
        </w:tc>
      </w:tr>
      <w:tr w:rsidR="00DA2522" w14:paraId="19001F1A" w14:textId="77777777">
        <w:trPr>
          <w:jc w:val="center"/>
        </w:trPr>
        <w:tc>
          <w:tcPr>
            <w:tcW w:w="1500" w:type="dxa"/>
            <w:vAlign w:val="center"/>
          </w:tcPr>
          <w:p w14:paraId="02AF243E" w14:textId="77777777" w:rsidR="00DA2522" w:rsidRDefault="00000000">
            <w:r>
              <w:rPr>
                <w:sz w:val="14"/>
              </w:rPr>
              <w:t>Ingestion (WRITE)</w:t>
            </w:r>
          </w:p>
        </w:tc>
        <w:tc>
          <w:tcPr>
            <w:tcW w:w="1800" w:type="dxa"/>
            <w:vAlign w:val="center"/>
          </w:tcPr>
          <w:p w14:paraId="140E06EA" w14:textId="77777777" w:rsidR="00DA2522" w:rsidRDefault="00000000">
            <w:r>
              <w:rPr>
                <w:sz w:val="14"/>
              </w:rPr>
              <w:t>extractor-prompt injection; write-path poisoning; poisoning by volume</w:t>
            </w:r>
          </w:p>
        </w:tc>
        <w:tc>
          <w:tcPr>
            <w:tcW w:w="1800" w:type="dxa"/>
            <w:vAlign w:val="center"/>
          </w:tcPr>
          <w:p w14:paraId="792BEED0" w14:textId="77777777" w:rsidR="00DA2522" w:rsidRDefault="00000000">
            <w:r>
              <w:rPr>
                <w:sz w:val="14"/>
              </w:rPr>
              <w:t>over-broad capture; unauthorised inference; MNPI capture</w:t>
            </w:r>
          </w:p>
        </w:tc>
        <w:tc>
          <w:tcPr>
            <w:tcW w:w="1800" w:type="dxa"/>
            <w:vAlign w:val="center"/>
          </w:tcPr>
          <w:p w14:paraId="25758E10" w14:textId="77777777" w:rsidR="00DA2522" w:rsidRDefault="00000000">
            <w:r>
              <w:rPr>
                <w:sz w:val="14"/>
              </w:rPr>
              <w:t>bulk import without provenance</w:t>
            </w:r>
          </w:p>
        </w:tc>
        <w:tc>
          <w:tcPr>
            <w:tcW w:w="1800" w:type="dxa"/>
            <w:vAlign w:val="center"/>
          </w:tcPr>
          <w:p w14:paraId="29D7AFE4" w14:textId="77777777" w:rsidR="00DA2522" w:rsidRDefault="00000000">
            <w:r>
              <w:rPr>
                <w:sz w:val="14"/>
              </w:rPr>
              <w:t>direct backend writes bypassing gateway</w:t>
            </w:r>
          </w:p>
        </w:tc>
        <w:tc>
          <w:tcPr>
            <w:tcW w:w="1800" w:type="dxa"/>
            <w:vAlign w:val="center"/>
          </w:tcPr>
          <w:p w14:paraId="52837A85" w14:textId="77777777" w:rsidR="00DA2522" w:rsidRDefault="00000000">
            <w:r>
              <w:rPr>
                <w:sz w:val="14"/>
              </w:rPr>
              <w:t>provider egress of raw content; telemetry leakage</w:t>
            </w:r>
          </w:p>
        </w:tc>
      </w:tr>
      <w:tr w:rsidR="00DA2522" w14:paraId="450F3F9D" w14:textId="77777777">
        <w:trPr>
          <w:jc w:val="center"/>
        </w:trPr>
        <w:tc>
          <w:tcPr>
            <w:tcW w:w="1500" w:type="dxa"/>
            <w:vAlign w:val="center"/>
          </w:tcPr>
          <w:p w14:paraId="34B5F9AB" w14:textId="77777777" w:rsidR="00DA2522" w:rsidRDefault="00000000">
            <w:r>
              <w:rPr>
                <w:sz w:val="14"/>
              </w:rPr>
              <w:t>Consolidation (UPDATE / MERGE / PROMOTE)</w:t>
            </w:r>
          </w:p>
        </w:tc>
        <w:tc>
          <w:tcPr>
            <w:tcW w:w="1800" w:type="dxa"/>
            <w:vAlign w:val="center"/>
          </w:tcPr>
          <w:p w14:paraId="4437EB10" w14:textId="77777777" w:rsidR="00DA2522" w:rsidRDefault="00000000">
            <w:r>
              <w:rPr>
                <w:sz w:val="14"/>
              </w:rPr>
              <w:t>safety-memory dilution via near-duplicates</w:t>
            </w:r>
          </w:p>
        </w:tc>
        <w:tc>
          <w:tcPr>
            <w:tcW w:w="1800" w:type="dxa"/>
            <w:vAlign w:val="center"/>
          </w:tcPr>
          <w:p w14:paraId="3041ABC4" w14:textId="77777777" w:rsidR="00DA2522" w:rsidRDefault="00000000">
            <w:r>
              <w:rPr>
                <w:sz w:val="14"/>
              </w:rPr>
              <w:t>confused deputy: low-privilege agent induces high-privilege merge</w:t>
            </w:r>
          </w:p>
        </w:tc>
        <w:tc>
          <w:tcPr>
            <w:tcW w:w="1800" w:type="dxa"/>
            <w:vAlign w:val="center"/>
          </w:tcPr>
          <w:p w14:paraId="626747B5" w14:textId="77777777" w:rsidR="00DA2522" w:rsidRDefault="00000000">
            <w:r>
              <w:rPr>
                <w:sz w:val="14"/>
              </w:rPr>
              <w:t>authority collapse; unreviewed promotion to skill</w:t>
            </w:r>
          </w:p>
        </w:tc>
        <w:tc>
          <w:tcPr>
            <w:tcW w:w="1800" w:type="dxa"/>
            <w:vAlign w:val="center"/>
          </w:tcPr>
          <w:p w14:paraId="2F36CBDD" w14:textId="77777777" w:rsidR="00DA2522" w:rsidRDefault="00000000">
            <w:r>
              <w:rPr>
                <w:sz w:val="14"/>
              </w:rPr>
              <w:t>hold release / reactivation without dual control</w:t>
            </w:r>
          </w:p>
        </w:tc>
        <w:tc>
          <w:tcPr>
            <w:tcW w:w="1800" w:type="dxa"/>
            <w:vAlign w:val="center"/>
          </w:tcPr>
          <w:p w14:paraId="6437A058" w14:textId="77777777" w:rsidR="00DA2522" w:rsidRDefault="00000000">
            <w:r>
              <w:rPr>
                <w:sz w:val="14"/>
              </w:rPr>
              <w:t>re-embedding drift after model change (C33)</w:t>
            </w:r>
          </w:p>
        </w:tc>
      </w:tr>
      <w:tr w:rsidR="00DA2522" w14:paraId="13670D03" w14:textId="77777777">
        <w:trPr>
          <w:jc w:val="center"/>
        </w:trPr>
        <w:tc>
          <w:tcPr>
            <w:tcW w:w="1500" w:type="dxa"/>
            <w:vAlign w:val="center"/>
          </w:tcPr>
          <w:p w14:paraId="7508363C" w14:textId="77777777" w:rsidR="00DA2522" w:rsidRDefault="00000000">
            <w:r>
              <w:rPr>
                <w:sz w:val="14"/>
              </w:rPr>
              <w:t>Retrieval / use (READ / EXPORT)</w:t>
            </w:r>
          </w:p>
        </w:tc>
        <w:tc>
          <w:tcPr>
            <w:tcW w:w="1800" w:type="dxa"/>
            <w:vAlign w:val="center"/>
          </w:tcPr>
          <w:p w14:paraId="57159195" w14:textId="77777777" w:rsidR="00DA2522" w:rsidRDefault="00000000">
            <w:r>
              <w:rPr>
                <w:sz w:val="14"/>
              </w:rPr>
              <w:t>prompt-to-query / graph injection (CVE-2026-32247 class)</w:t>
            </w:r>
          </w:p>
        </w:tc>
        <w:tc>
          <w:tcPr>
            <w:tcW w:w="1800" w:type="dxa"/>
            <w:vAlign w:val="center"/>
          </w:tcPr>
          <w:p w14:paraId="717EEFA5" w14:textId="77777777" w:rsidR="00DA2522" w:rsidRDefault="00000000">
            <w:r>
              <w:rPr>
                <w:sz w:val="14"/>
              </w:rPr>
              <w:t>cross-tenant traversal; composition leakage in context</w:t>
            </w:r>
          </w:p>
        </w:tc>
        <w:tc>
          <w:tcPr>
            <w:tcW w:w="1800" w:type="dxa"/>
            <w:vAlign w:val="center"/>
          </w:tcPr>
          <w:p w14:paraId="2DBC8A13" w14:textId="77777777" w:rsidR="00DA2522" w:rsidRDefault="00000000">
            <w:r>
              <w:rPr>
                <w:sz w:val="14"/>
              </w:rPr>
              <w:t>stale or superseded memory used; expired instruction acted on</w:t>
            </w:r>
          </w:p>
        </w:tc>
        <w:tc>
          <w:tcPr>
            <w:tcW w:w="1800" w:type="dxa"/>
            <w:vAlign w:val="center"/>
          </w:tcPr>
          <w:p w14:paraId="3509BB6B" w14:textId="77777777" w:rsidR="00DA2522" w:rsidRDefault="00000000">
            <w:r>
              <w:rPr>
                <w:sz w:val="14"/>
              </w:rPr>
              <w:t>audit-log tampering; log as shadow copy</w:t>
            </w:r>
          </w:p>
        </w:tc>
        <w:tc>
          <w:tcPr>
            <w:tcW w:w="1800" w:type="dxa"/>
            <w:vAlign w:val="center"/>
          </w:tcPr>
          <w:p w14:paraId="5167BA68" w14:textId="77777777" w:rsidR="00DA2522" w:rsidRDefault="00000000">
            <w:r>
              <w:rPr>
                <w:sz w:val="14"/>
              </w:rPr>
              <w:t>membership inference / embedding inversion (Ghost Vectors class); index residue</w:t>
            </w:r>
          </w:p>
        </w:tc>
      </w:tr>
    </w:tbl>
    <w:p w14:paraId="736AEEC6" w14:textId="77777777" w:rsidR="00DA2522" w:rsidRDefault="00DA2522">
      <w:pPr>
        <w:spacing w:after="0"/>
      </w:pPr>
    </w:p>
    <w:p w14:paraId="68571518" w14:textId="77777777" w:rsidR="00DA2522" w:rsidRDefault="00000000">
      <w:pPr>
        <w:pStyle w:val="Heading1"/>
      </w:pPr>
      <w:r>
        <w:t>14. Backend Admission and Conformance Testing</w:t>
      </w:r>
    </w:p>
    <w:p w14:paraId="6FD11A99" w14:textId="77777777" w:rsidR="00DA2522" w:rsidRDefault="00000000">
      <w:pPr>
        <w:spacing w:after="100" w:line="252" w:lineRule="auto"/>
      </w:pPr>
      <w:r>
        <w:t>Every memory backend—internal or third-party—should pass the same RockAI governance contract before production approval. This avoids inheriting a vendor’s definition of “secure,” “deleted,” or “isolated.”</w:t>
      </w:r>
    </w:p>
    <w:p w14:paraId="43F65A77" w14:textId="77777777" w:rsidR="00DA2522" w:rsidRDefault="00000000">
      <w:pPr>
        <w:pStyle w:val="ListNumber"/>
        <w:spacing w:after="60"/>
      </w:pPr>
      <w:r>
        <w:rPr>
          <w:b/>
        </w:rPr>
        <w:t xml:space="preserve">Supply-chain gate. </w:t>
      </w:r>
      <w:r>
        <w:t>License/IP review; SBOM; pinned version; dependency lock; signed/reproducible artifacts where feasible; CVE/advisory monitoring; patch/rollback procedure.</w:t>
      </w:r>
    </w:p>
    <w:p w14:paraId="5CF95CDF" w14:textId="77777777" w:rsidR="00DA2522" w:rsidRDefault="00000000">
      <w:pPr>
        <w:pStyle w:val="ListNumber"/>
        <w:spacing w:after="60"/>
      </w:pPr>
      <w:r>
        <w:rPr>
          <w:b/>
        </w:rPr>
        <w:t xml:space="preserve">Data-flow gate. </w:t>
      </w:r>
      <w:r>
        <w:t>Enumerate model, embedder, reranker, graph/vector DB, cloud, telemetry, logs, backups and subprocessors; verify approved region/account/endpoint and no hidden fallback.</w:t>
      </w:r>
    </w:p>
    <w:p w14:paraId="656CC874" w14:textId="77777777" w:rsidR="00DA2522" w:rsidRDefault="00000000">
      <w:pPr>
        <w:pStyle w:val="ListNumber"/>
        <w:spacing w:after="60"/>
      </w:pPr>
      <w:r>
        <w:rPr>
          <w:b/>
        </w:rPr>
        <w:t xml:space="preserve">Security gate. </w:t>
      </w:r>
      <w:r>
        <w:t>Threat-model testing for prompt injection, graph/query injection, unauthorized tool calls, cross-tenant retrieval, malicious memory writes, privilege escalation and deletion bypass.</w:t>
      </w:r>
    </w:p>
    <w:p w14:paraId="1952E422" w14:textId="77777777" w:rsidR="00DA2522" w:rsidRDefault="00000000">
      <w:pPr>
        <w:pStyle w:val="ListNumber"/>
        <w:spacing w:after="60"/>
      </w:pPr>
      <w:r>
        <w:rPr>
          <w:b/>
        </w:rPr>
        <w:lastRenderedPageBreak/>
        <w:t xml:space="preserve">Privacy/rights gate. </w:t>
      </w:r>
      <w:r>
        <w:t>Exercise discovery, export, correction, restriction and deletion across all representations; verify residual artifacts and backup behavior.</w:t>
      </w:r>
    </w:p>
    <w:p w14:paraId="1C06A599" w14:textId="77777777" w:rsidR="00DA2522" w:rsidRDefault="00000000">
      <w:pPr>
        <w:pStyle w:val="ListNumber"/>
        <w:spacing w:after="60"/>
      </w:pPr>
      <w:r>
        <w:rPr>
          <w:b/>
        </w:rPr>
        <w:t xml:space="preserve">Memory-quality gate. </w:t>
      </w:r>
      <w:r>
        <w:t>Measure extraction accuracy, entity resolution, temporal update, conflict resolution, retrieval precision/recall, unsupported inference, stale-memory use, and authority collapse (source-constraint loss during consolidation, per Section 7.1).</w:t>
      </w:r>
    </w:p>
    <w:p w14:paraId="460BAFBB" w14:textId="77777777" w:rsidR="00DA2522" w:rsidRDefault="00000000">
      <w:pPr>
        <w:pStyle w:val="ListNumber"/>
        <w:spacing w:after="60"/>
      </w:pPr>
      <w:r>
        <w:rPr>
          <w:b/>
        </w:rPr>
        <w:t xml:space="preserve">Operational gate. </w:t>
      </w:r>
      <w:r>
        <w:t>Recovery, failover, kill switch, provider outage, schema migration, backend upgrade, version rollback and portable export.</w:t>
      </w:r>
    </w:p>
    <w:p w14:paraId="496167E8" w14:textId="77777777" w:rsidR="00DA2522" w:rsidRDefault="00000000">
      <w:pPr>
        <w:pStyle w:val="ListNumber"/>
        <w:spacing w:after="60"/>
      </w:pPr>
      <w:r>
        <w:rPr>
          <w:b/>
        </w:rPr>
        <w:t xml:space="preserve">Governance-evidence gate. </w:t>
      </w:r>
      <w:r>
        <w:t>Confirm lineage, audit, policy versioning, retention state and control evidence can be produced for investigation or review.</w:t>
      </w:r>
    </w:p>
    <w:p w14:paraId="38DC1A5B" w14:textId="77777777" w:rsidR="00DA2522" w:rsidRDefault="00000000">
      <w:pPr>
        <w:pStyle w:val="Heading2"/>
      </w:pPr>
      <w:r>
        <w:t>14.1 Pass criteria, canaries, and two additional gates</w:t>
      </w:r>
    </w:p>
    <w:p w14:paraId="6EEBDE30" w14:textId="77777777" w:rsidR="00DA2522" w:rsidRDefault="00000000">
      <w:pPr>
        <w:spacing w:after="100" w:line="252" w:lineRule="auto"/>
      </w:pPr>
      <w:r>
        <w:t>The gates above are named but not yet specified. For each gate the specification should define the fixture corpus, the oracle, the pass threshold and the pinned backbone, extractor, embedder and prompt versions under which the result is valid — benchmark results for memory systems are known to be judge-sensitive and backbone-dependent, and a conformance result that does not pin these is not reproducible.</w:t>
      </w:r>
    </w:p>
    <w:p w14:paraId="69B7BC10" w14:textId="77777777" w:rsidR="00DA2522" w:rsidRDefault="00000000">
      <w:pPr>
        <w:pStyle w:val="ListBullet"/>
        <w:spacing w:after="60"/>
      </w:pPr>
      <w:r>
        <w:rPr>
          <w:b/>
        </w:rPr>
        <w:t xml:space="preserve">Canary memories. </w:t>
      </w:r>
      <w:r>
        <w:t>Plant unique, unguessable tokens per tenant, per barrier scope and per lifecycle state. Any appearance of a canary outside its scope — in a retrieval result, an assembled context, a summary, an export or a log — is a leak with zero ambiguity. Canaries turn the leakage, restriction-escape and deletion-recovery metrics from estimates into measurements, and they are cheap to maintain in production as well as in test.</w:t>
      </w:r>
    </w:p>
    <w:p w14:paraId="48B6AFEB" w14:textId="77777777" w:rsidR="00DA2522" w:rsidRDefault="00000000">
      <w:pPr>
        <w:pStyle w:val="ListBullet"/>
        <w:spacing w:after="60"/>
      </w:pPr>
      <w:r>
        <w:rPr>
          <w:b/>
        </w:rPr>
        <w:t xml:space="preserve">Physical-layer erasure verification. </w:t>
      </w:r>
      <w:r>
        <w:t>Erasure tests inspect raw index and storage files, not API responses, per the Ghost Vectors finding; a deletion receipt without a physical-layer check is evidence of process, not of erasure.</w:t>
      </w:r>
    </w:p>
    <w:p w14:paraId="238798C0" w14:textId="77777777" w:rsidR="00DA2522" w:rsidRDefault="00000000">
      <w:pPr>
        <w:pStyle w:val="ListBullet"/>
        <w:spacing w:after="60"/>
      </w:pPr>
      <w:r>
        <w:rPr>
          <w:b/>
        </w:rPr>
        <w:t xml:space="preserve">Performance gate (added). </w:t>
      </w:r>
      <w:r>
        <w:t>Governance overhead is measured against the stated p95 budget (Section 9.1) under a representative query mix, including pre-filter authorisation. A backend that passes every other gate but breaches the budget is not admitted, because it will be bypassed.</w:t>
      </w:r>
    </w:p>
    <w:p w14:paraId="23FBB114" w14:textId="77777777" w:rsidR="00DA2522" w:rsidRDefault="00000000">
      <w:pPr>
        <w:pStyle w:val="ListBullet"/>
        <w:spacing w:after="60"/>
      </w:pPr>
      <w:r>
        <w:rPr>
          <w:b/>
        </w:rPr>
        <w:t xml:space="preserve">Human-oversight gate (added). </w:t>
      </w:r>
      <w:r>
        <w:t>The contest, appeal and human-intervention paths required by GDPR Art. 22, AI Act Art. 14 and ADMT rules are exercised end to end — a reviewer can find the memory-driven basis of a decision, suspend it, and record the outcome — rather than assumed from documentation.</w:t>
      </w:r>
    </w:p>
    <w:p w14:paraId="09C51001" w14:textId="77777777" w:rsidR="00DA2522" w:rsidRDefault="00000000">
      <w:pPr>
        <w:pStyle w:val="ListBullet"/>
        <w:spacing w:after="60"/>
      </w:pPr>
      <w:r>
        <w:rPr>
          <w:b/>
        </w:rPr>
        <w:t xml:space="preserve">Adversarial protocols as named tests. </w:t>
      </w:r>
      <w:r>
        <w:t>AuthMem-Bench-style authority-collapse probes, Memory-Contagion-style bias-propagation runs, and safety-memory-dilution injections are specified as repeatable protocols with fixtures, not left to ad hoc red-teaming.</w:t>
      </w:r>
    </w:p>
    <w:p w14:paraId="6803B1A1" w14:textId="77777777" w:rsidR="00DA2522" w:rsidRDefault="00000000">
      <w:pPr>
        <w:pStyle w:val="ListBullet"/>
        <w:spacing w:after="60"/>
      </w:pPr>
      <w:r>
        <w:rPr>
          <w:b/>
        </w:rPr>
        <w:t xml:space="preserve">Re-run triggers. </w:t>
      </w:r>
      <w:r>
        <w:t>Gates re-run on: backend version upgrade; LLM / extractor / embedder / reranker change (C33); schema or ontology migration (C15); new security advisory for any component (C5); new tenant, barrier or data class; retention or purpose-policy change. A conformance result is valid only for the pinned configuration under which it was produced.</w:t>
      </w:r>
    </w:p>
    <w:p w14:paraId="70C26153" w14:textId="77777777" w:rsidR="00DA2522" w:rsidRDefault="00000000">
      <w:pPr>
        <w:pStyle w:val="Heading1"/>
      </w:pPr>
      <w:r>
        <w:t>15. Governance Evaluation Metrics</w:t>
      </w:r>
    </w:p>
    <w:p w14:paraId="6C1CA64F" w14:textId="77777777" w:rsidR="00DA2522" w:rsidRDefault="00000000">
      <w:pPr>
        <w:spacing w:after="100" w:line="252" w:lineRule="auto"/>
      </w:pPr>
      <w:r>
        <w:t>A trustworthy-memory guideline should define measurable acceptance criteria. Illustrative metrics include:</w:t>
      </w:r>
    </w:p>
    <w:tbl>
      <w:tblPr>
        <w:tblStyle w:val="TableGrid"/>
        <w:tblW w:w="0" w:type="auto"/>
        <w:jc w:val="center"/>
        <w:tblLook w:val="04A0" w:firstRow="1" w:lastRow="0" w:firstColumn="1" w:lastColumn="0" w:noHBand="0" w:noVBand="1"/>
      </w:tblPr>
      <w:tblGrid>
        <w:gridCol w:w="2832"/>
        <w:gridCol w:w="7320"/>
      </w:tblGrid>
      <w:tr w:rsidR="00DA2522" w14:paraId="38708D14" w14:textId="77777777">
        <w:trPr>
          <w:jc w:val="center"/>
        </w:trPr>
        <w:tc>
          <w:tcPr>
            <w:tcW w:w="2880" w:type="dxa"/>
            <w:shd w:val="clear" w:color="auto" w:fill="173A5E"/>
            <w:vAlign w:val="center"/>
          </w:tcPr>
          <w:p w14:paraId="222519F7" w14:textId="77777777" w:rsidR="00DA2522" w:rsidRDefault="00000000">
            <w:r>
              <w:rPr>
                <w:b/>
                <w:color w:val="FFFFFF"/>
                <w:sz w:val="16"/>
              </w:rPr>
              <w:t>Metric</w:t>
            </w:r>
          </w:p>
        </w:tc>
        <w:tc>
          <w:tcPr>
            <w:tcW w:w="7488" w:type="dxa"/>
            <w:shd w:val="clear" w:color="auto" w:fill="173A5E"/>
            <w:vAlign w:val="center"/>
          </w:tcPr>
          <w:p w14:paraId="0461D68D" w14:textId="77777777" w:rsidR="00DA2522" w:rsidRDefault="00000000">
            <w:r>
              <w:rPr>
                <w:b/>
                <w:color w:val="FFFFFF"/>
                <w:sz w:val="16"/>
              </w:rPr>
              <w:t>Definition / interpretation</w:t>
            </w:r>
          </w:p>
        </w:tc>
      </w:tr>
      <w:tr w:rsidR="00DA2522" w14:paraId="392971E4" w14:textId="77777777">
        <w:trPr>
          <w:jc w:val="center"/>
        </w:trPr>
        <w:tc>
          <w:tcPr>
            <w:tcW w:w="2880" w:type="dxa"/>
            <w:vAlign w:val="center"/>
          </w:tcPr>
          <w:p w14:paraId="50E11866" w14:textId="77777777" w:rsidR="00DA2522" w:rsidRDefault="00000000">
            <w:r>
              <w:rPr>
                <w:sz w:val="16"/>
              </w:rPr>
              <w:t>Memory Lineage Coverage (MLC)</w:t>
            </w:r>
          </w:p>
        </w:tc>
        <w:tc>
          <w:tcPr>
            <w:tcW w:w="7488" w:type="dxa"/>
            <w:vAlign w:val="center"/>
          </w:tcPr>
          <w:p w14:paraId="6671DC9D" w14:textId="77777777" w:rsidR="00DA2522" w:rsidRDefault="00000000">
            <w:r>
              <w:rPr>
                <w:sz w:val="16"/>
              </w:rPr>
              <w:t>Persisted memories with reconstructible source/transformation lineage ÷ all persisted memories. Target should approach 100% for governed production memory.</w:t>
            </w:r>
          </w:p>
        </w:tc>
      </w:tr>
      <w:tr w:rsidR="00DA2522" w14:paraId="71ED8024" w14:textId="77777777">
        <w:trPr>
          <w:jc w:val="center"/>
        </w:trPr>
        <w:tc>
          <w:tcPr>
            <w:tcW w:w="2880" w:type="dxa"/>
            <w:shd w:val="clear" w:color="auto" w:fill="F3F6F9"/>
            <w:vAlign w:val="center"/>
          </w:tcPr>
          <w:p w14:paraId="0602FF2A" w14:textId="77777777" w:rsidR="00DA2522" w:rsidRDefault="00000000">
            <w:r>
              <w:rPr>
                <w:sz w:val="16"/>
              </w:rPr>
              <w:t>Erasure Completeness (EC)</w:t>
            </w:r>
          </w:p>
        </w:tc>
        <w:tc>
          <w:tcPr>
            <w:tcW w:w="7488" w:type="dxa"/>
            <w:shd w:val="clear" w:color="auto" w:fill="F3F6F9"/>
            <w:vAlign w:val="center"/>
          </w:tcPr>
          <w:p w14:paraId="3C039EBD" w14:textId="77777777" w:rsidR="00DA2522" w:rsidRDefault="00000000">
            <w:r>
              <w:rPr>
                <w:sz w:val="16"/>
              </w:rPr>
              <w:t>1 − residual subject-related artifacts after a valid deletion workflow ÷ artifacts before deletion; should include representation-specific residual checks.</w:t>
            </w:r>
          </w:p>
        </w:tc>
      </w:tr>
      <w:tr w:rsidR="00DA2522" w14:paraId="41BF364B" w14:textId="77777777">
        <w:trPr>
          <w:jc w:val="center"/>
        </w:trPr>
        <w:tc>
          <w:tcPr>
            <w:tcW w:w="2880" w:type="dxa"/>
            <w:vAlign w:val="center"/>
          </w:tcPr>
          <w:p w14:paraId="3F59C9DB" w14:textId="77777777" w:rsidR="00DA2522" w:rsidRDefault="00000000">
            <w:r>
              <w:rPr>
                <w:sz w:val="16"/>
              </w:rPr>
              <w:t>Cross-Scope Leakage Rate (CSLR)</w:t>
            </w:r>
          </w:p>
        </w:tc>
        <w:tc>
          <w:tcPr>
            <w:tcW w:w="7488" w:type="dxa"/>
            <w:vAlign w:val="center"/>
          </w:tcPr>
          <w:p w14:paraId="72A1BC3C" w14:textId="77777777" w:rsidR="00DA2522" w:rsidRDefault="00000000">
            <w:r>
              <w:rPr>
                <w:sz w:val="16"/>
              </w:rPr>
              <w:t>Unauthorized memories returned ÷ adversarial cross-scope retrieval attempts. Target: effectively zero.</w:t>
            </w:r>
          </w:p>
        </w:tc>
      </w:tr>
      <w:tr w:rsidR="00DA2522" w14:paraId="2B534846" w14:textId="77777777">
        <w:trPr>
          <w:jc w:val="center"/>
        </w:trPr>
        <w:tc>
          <w:tcPr>
            <w:tcW w:w="2880" w:type="dxa"/>
            <w:shd w:val="clear" w:color="auto" w:fill="F3F6F9"/>
            <w:vAlign w:val="center"/>
          </w:tcPr>
          <w:p w14:paraId="5F92B5AF" w14:textId="77777777" w:rsidR="00DA2522" w:rsidRDefault="00000000">
            <w:r>
              <w:rPr>
                <w:sz w:val="16"/>
              </w:rPr>
              <w:t>Stale Memory Utilization Rate (SMUR)</w:t>
            </w:r>
          </w:p>
        </w:tc>
        <w:tc>
          <w:tcPr>
            <w:tcW w:w="7488" w:type="dxa"/>
            <w:shd w:val="clear" w:color="auto" w:fill="F3F6F9"/>
            <w:vAlign w:val="center"/>
          </w:tcPr>
          <w:p w14:paraId="1A50DDA2" w14:textId="77777777" w:rsidR="00DA2522" w:rsidRDefault="00000000">
            <w:r>
              <w:rPr>
                <w:sz w:val="16"/>
              </w:rPr>
              <w:t>Stale/superseded memories actually used ÷ memory-assisted decisions.</w:t>
            </w:r>
          </w:p>
        </w:tc>
      </w:tr>
      <w:tr w:rsidR="00DA2522" w14:paraId="034FD9A1" w14:textId="77777777">
        <w:trPr>
          <w:jc w:val="center"/>
        </w:trPr>
        <w:tc>
          <w:tcPr>
            <w:tcW w:w="2880" w:type="dxa"/>
            <w:vAlign w:val="center"/>
          </w:tcPr>
          <w:p w14:paraId="350876A7" w14:textId="77777777" w:rsidR="00DA2522" w:rsidRDefault="00000000">
            <w:r>
              <w:rPr>
                <w:sz w:val="16"/>
              </w:rPr>
              <w:t>Unsupported Inference Rate (UIR)</w:t>
            </w:r>
          </w:p>
        </w:tc>
        <w:tc>
          <w:tcPr>
            <w:tcW w:w="7488" w:type="dxa"/>
            <w:vAlign w:val="center"/>
          </w:tcPr>
          <w:p w14:paraId="20BCBA9D" w14:textId="77777777" w:rsidR="00DA2522" w:rsidRDefault="00000000">
            <w:r>
              <w:rPr>
                <w:sz w:val="16"/>
              </w:rPr>
              <w:t>Derived memories lacking sufficient source support ÷ all derived memories.</w:t>
            </w:r>
          </w:p>
        </w:tc>
      </w:tr>
      <w:tr w:rsidR="00DA2522" w14:paraId="33A67CA6" w14:textId="77777777">
        <w:trPr>
          <w:jc w:val="center"/>
        </w:trPr>
        <w:tc>
          <w:tcPr>
            <w:tcW w:w="2880" w:type="dxa"/>
            <w:shd w:val="clear" w:color="auto" w:fill="F3F6F9"/>
            <w:vAlign w:val="center"/>
          </w:tcPr>
          <w:p w14:paraId="295C98A2" w14:textId="77777777" w:rsidR="00DA2522" w:rsidRDefault="00000000">
            <w:r>
              <w:rPr>
                <w:sz w:val="16"/>
              </w:rPr>
              <w:t>Purpose Violation Rate (PVR)</w:t>
            </w:r>
          </w:p>
        </w:tc>
        <w:tc>
          <w:tcPr>
            <w:tcW w:w="7488" w:type="dxa"/>
            <w:shd w:val="clear" w:color="auto" w:fill="F3F6F9"/>
            <w:vAlign w:val="center"/>
          </w:tcPr>
          <w:p w14:paraId="60583999" w14:textId="77777777" w:rsidR="00DA2522" w:rsidRDefault="00000000">
            <w:r>
              <w:rPr>
                <w:sz w:val="16"/>
              </w:rPr>
              <w:t>Memory use events outside authorized purpose ÷ all memory use events. Target: zero.</w:t>
            </w:r>
          </w:p>
        </w:tc>
      </w:tr>
      <w:tr w:rsidR="00DA2522" w14:paraId="108AFA52" w14:textId="77777777">
        <w:trPr>
          <w:jc w:val="center"/>
        </w:trPr>
        <w:tc>
          <w:tcPr>
            <w:tcW w:w="2880" w:type="dxa"/>
            <w:vAlign w:val="center"/>
          </w:tcPr>
          <w:p w14:paraId="1508AC85" w14:textId="77777777" w:rsidR="00DA2522" w:rsidRDefault="00000000">
            <w:r>
              <w:rPr>
                <w:sz w:val="16"/>
              </w:rPr>
              <w:t>Restriction Escape Rate</w:t>
            </w:r>
          </w:p>
        </w:tc>
        <w:tc>
          <w:tcPr>
            <w:tcW w:w="7488" w:type="dxa"/>
            <w:vAlign w:val="center"/>
          </w:tcPr>
          <w:p w14:paraId="08CF3759" w14:textId="77777777" w:rsidR="00DA2522" w:rsidRDefault="00000000">
            <w:r>
              <w:rPr>
                <w:sz w:val="16"/>
              </w:rPr>
              <w:t>Restricted memories that re-enter ordinary retrieval/use ÷ restriction tests. Target: zero.</w:t>
            </w:r>
          </w:p>
        </w:tc>
      </w:tr>
      <w:tr w:rsidR="00DA2522" w14:paraId="21872F42" w14:textId="77777777">
        <w:trPr>
          <w:jc w:val="center"/>
        </w:trPr>
        <w:tc>
          <w:tcPr>
            <w:tcW w:w="2880" w:type="dxa"/>
            <w:shd w:val="clear" w:color="auto" w:fill="F3F6F9"/>
            <w:vAlign w:val="center"/>
          </w:tcPr>
          <w:p w14:paraId="3EB1DCFA" w14:textId="77777777" w:rsidR="00DA2522" w:rsidRDefault="00000000">
            <w:r>
              <w:rPr>
                <w:sz w:val="16"/>
              </w:rPr>
              <w:t>Deletion Recovery Leakage</w:t>
            </w:r>
          </w:p>
        </w:tc>
        <w:tc>
          <w:tcPr>
            <w:tcW w:w="7488" w:type="dxa"/>
            <w:shd w:val="clear" w:color="auto" w:fill="F3F6F9"/>
            <w:vAlign w:val="center"/>
          </w:tcPr>
          <w:p w14:paraId="48773DB5" w14:textId="77777777" w:rsidR="00DA2522" w:rsidRDefault="00000000">
            <w:r>
              <w:rPr>
                <w:sz w:val="16"/>
              </w:rPr>
              <w:t>Deleted/restricted data restored to active use after backup/recovery ÷ restore tests. Target: zero.</w:t>
            </w:r>
          </w:p>
        </w:tc>
      </w:tr>
      <w:tr w:rsidR="00DA2522" w14:paraId="61809AD6" w14:textId="77777777">
        <w:trPr>
          <w:jc w:val="center"/>
        </w:trPr>
        <w:tc>
          <w:tcPr>
            <w:tcW w:w="2880" w:type="dxa"/>
            <w:vAlign w:val="center"/>
          </w:tcPr>
          <w:p w14:paraId="5A2CBD09" w14:textId="77777777" w:rsidR="00DA2522" w:rsidRDefault="00000000">
            <w:r>
              <w:rPr>
                <w:sz w:val="16"/>
              </w:rPr>
              <w:lastRenderedPageBreak/>
              <w:t>Promotion Regression Rate</w:t>
            </w:r>
          </w:p>
        </w:tc>
        <w:tc>
          <w:tcPr>
            <w:tcW w:w="7488" w:type="dxa"/>
            <w:vAlign w:val="center"/>
          </w:tcPr>
          <w:p w14:paraId="015CD5BE" w14:textId="77777777" w:rsidR="00DA2522" w:rsidRDefault="00000000">
            <w:r>
              <w:rPr>
                <w:sz w:val="16"/>
              </w:rPr>
              <w:t>Promoted procedure/skill updates causing validated task/safety regression ÷ promotions.</w:t>
            </w:r>
          </w:p>
        </w:tc>
      </w:tr>
      <w:tr w:rsidR="00DA2522" w14:paraId="19838F69" w14:textId="77777777">
        <w:trPr>
          <w:jc w:val="center"/>
        </w:trPr>
        <w:tc>
          <w:tcPr>
            <w:tcW w:w="2880" w:type="dxa"/>
            <w:shd w:val="clear" w:color="auto" w:fill="F3F6F9"/>
            <w:vAlign w:val="center"/>
          </w:tcPr>
          <w:p w14:paraId="1DC0E228" w14:textId="77777777" w:rsidR="00DA2522" w:rsidRDefault="00000000">
            <w:r>
              <w:rPr>
                <w:sz w:val="16"/>
              </w:rPr>
              <w:t>Backend Substitution Time</w:t>
            </w:r>
          </w:p>
        </w:tc>
        <w:tc>
          <w:tcPr>
            <w:tcW w:w="7488" w:type="dxa"/>
            <w:shd w:val="clear" w:color="auto" w:fill="F3F6F9"/>
            <w:vAlign w:val="center"/>
          </w:tcPr>
          <w:p w14:paraId="0BB0D261" w14:textId="77777777" w:rsidR="00DA2522" w:rsidRDefault="00000000">
            <w:r>
              <w:rPr>
                <w:sz w:val="16"/>
              </w:rPr>
              <w:t>Time and manual effort required to export, migrate, validate and resume on an alternate backend.</w:t>
            </w:r>
          </w:p>
        </w:tc>
      </w:tr>
    </w:tbl>
    <w:p w14:paraId="67215D26" w14:textId="77777777" w:rsidR="00DA2522" w:rsidRDefault="00DA2522">
      <w:pPr>
        <w:spacing w:after="0"/>
      </w:pPr>
    </w:p>
    <w:p w14:paraId="05FF68E1" w14:textId="77777777" w:rsidR="00DA2522" w:rsidRDefault="00000000">
      <w:pPr>
        <w:pStyle w:val="Heading2"/>
      </w:pPr>
      <w:r>
        <w:t>15.0 Provenance of the metric set</w:t>
      </w:r>
    </w:p>
    <w:p w14:paraId="0DB14565" w14:textId="1876F96C" w:rsidR="00C4590B" w:rsidRPr="00C4590B" w:rsidRDefault="00C4590B" w:rsidP="00C4590B">
      <w:pPr>
        <w:rPr>
          <w:color w:val="FF0000"/>
        </w:rPr>
      </w:pPr>
      <w:r w:rsidRPr="00C4590B">
        <w:rPr>
          <w:color w:val="FF0000"/>
        </w:rPr>
        <w:t>Market scenario</w:t>
      </w:r>
      <w:r>
        <w:rPr>
          <w:color w:val="FF0000"/>
        </w:rPr>
        <w:t>: internal knowledge of pretrained memory, or from the new conversation?</w:t>
      </w:r>
    </w:p>
    <w:p w14:paraId="32672CB2" w14:textId="77777777" w:rsidR="00DA2522" w:rsidRDefault="00000000">
      <w:pPr>
        <w:spacing w:after="100" w:line="252" w:lineRule="auto"/>
      </w:pPr>
      <w:r>
        <w:t>The metric names and ratio definitions in this memorandum are RockAI's own; most of the underlying constructs have precedents in the 2025–2026 literature or in commercial memory-evaluation tooling, and where a published formalism exists the specification should adopt or explicitly align to it so that conformance results are comparable to external work. Three metrics (lineage coverage, purpose violation rate and effective-policy coverage) have no direct precedent and are legitimately RockAI contributions.</w:t>
      </w:r>
    </w:p>
    <w:tbl>
      <w:tblPr>
        <w:tblStyle w:val="TableGrid"/>
        <w:tblW w:w="0" w:type="auto"/>
        <w:jc w:val="center"/>
        <w:tblLook w:val="04A0" w:firstRow="1" w:lastRow="0" w:firstColumn="1" w:lastColumn="0" w:noHBand="0" w:noVBand="1"/>
      </w:tblPr>
      <w:tblGrid>
        <w:gridCol w:w="1700"/>
        <w:gridCol w:w="3000"/>
        <w:gridCol w:w="2600"/>
        <w:gridCol w:w="2200"/>
      </w:tblGrid>
      <w:tr w:rsidR="00DA2522" w14:paraId="7C24060F" w14:textId="77777777">
        <w:trPr>
          <w:jc w:val="center"/>
        </w:trPr>
        <w:tc>
          <w:tcPr>
            <w:tcW w:w="1700" w:type="dxa"/>
            <w:shd w:val="clear" w:color="auto" w:fill="173A5E"/>
            <w:vAlign w:val="center"/>
          </w:tcPr>
          <w:p w14:paraId="3B2A81E7" w14:textId="77777777" w:rsidR="00DA2522" w:rsidRDefault="00000000">
            <w:r>
              <w:rPr>
                <w:b/>
                <w:color w:val="FFFFFF"/>
                <w:sz w:val="16"/>
              </w:rPr>
              <w:t>Metric</w:t>
            </w:r>
          </w:p>
        </w:tc>
        <w:tc>
          <w:tcPr>
            <w:tcW w:w="3000" w:type="dxa"/>
            <w:shd w:val="clear" w:color="auto" w:fill="173A5E"/>
            <w:vAlign w:val="center"/>
          </w:tcPr>
          <w:p w14:paraId="68C66191" w14:textId="77777777" w:rsidR="00DA2522" w:rsidRDefault="00000000">
            <w:r>
              <w:rPr>
                <w:b/>
                <w:color w:val="FFFFFF"/>
                <w:sz w:val="16"/>
              </w:rPr>
              <w:t>Precedent / closest published construct</w:t>
            </w:r>
          </w:p>
        </w:tc>
        <w:tc>
          <w:tcPr>
            <w:tcW w:w="2600" w:type="dxa"/>
            <w:shd w:val="clear" w:color="auto" w:fill="173A5E"/>
            <w:vAlign w:val="center"/>
          </w:tcPr>
          <w:p w14:paraId="1D99F209" w14:textId="77777777" w:rsidR="00DA2522" w:rsidRDefault="00000000">
            <w:r>
              <w:rPr>
                <w:b/>
                <w:color w:val="FFFFFF"/>
                <w:sz w:val="16"/>
              </w:rPr>
              <w:t>Status of RockAI definition</w:t>
            </w:r>
          </w:p>
        </w:tc>
        <w:tc>
          <w:tcPr>
            <w:tcW w:w="2200" w:type="dxa"/>
            <w:shd w:val="clear" w:color="auto" w:fill="173A5E"/>
            <w:vAlign w:val="center"/>
          </w:tcPr>
          <w:p w14:paraId="35E70E80" w14:textId="77777777" w:rsidR="00DA2522" w:rsidRDefault="00000000">
            <w:r>
              <w:rPr>
                <w:b/>
                <w:color w:val="FFFFFF"/>
                <w:sz w:val="16"/>
              </w:rPr>
              <w:t>Source</w:t>
            </w:r>
          </w:p>
        </w:tc>
      </w:tr>
      <w:tr w:rsidR="00DA2522" w14:paraId="65C941DC" w14:textId="77777777">
        <w:trPr>
          <w:jc w:val="center"/>
        </w:trPr>
        <w:tc>
          <w:tcPr>
            <w:tcW w:w="1700" w:type="dxa"/>
            <w:vAlign w:val="center"/>
          </w:tcPr>
          <w:p w14:paraId="0D096B2F" w14:textId="77777777" w:rsidR="00DA2522" w:rsidRDefault="00000000">
            <w:r>
              <w:rPr>
                <w:sz w:val="14"/>
              </w:rPr>
              <w:t>MLC lineage coverage</w:t>
            </w:r>
          </w:p>
        </w:tc>
        <w:tc>
          <w:tcPr>
            <w:tcW w:w="3000" w:type="dxa"/>
            <w:vAlign w:val="center"/>
          </w:tcPr>
          <w:p w14:paraId="3D61959C" w14:textId="77777777" w:rsidR="00DA2522" w:rsidRDefault="00000000">
            <w:r>
              <w:rPr>
                <w:sz w:val="14"/>
              </w:rPr>
              <w:t>Data-lineage completeness is standard data-governance practice; no published memory-specific metric</w:t>
            </w:r>
          </w:p>
        </w:tc>
        <w:tc>
          <w:tcPr>
            <w:tcW w:w="2600" w:type="dxa"/>
            <w:vAlign w:val="center"/>
          </w:tcPr>
          <w:p w14:paraId="63B5499A" w14:textId="77777777" w:rsidR="00DA2522" w:rsidRDefault="00000000">
            <w:r>
              <w:rPr>
                <w:sz w:val="14"/>
              </w:rPr>
              <w:t>Bespoke as a memory metric</w:t>
            </w:r>
          </w:p>
        </w:tc>
        <w:tc>
          <w:tcPr>
            <w:tcW w:w="2200" w:type="dxa"/>
            <w:vAlign w:val="center"/>
          </w:tcPr>
          <w:p w14:paraId="3CD5812C" w14:textId="77777777" w:rsidR="00DA2522" w:rsidRDefault="00000000">
            <w:r>
              <w:rPr>
                <w:sz w:val="14"/>
              </w:rPr>
              <w:t>—</w:t>
            </w:r>
          </w:p>
        </w:tc>
      </w:tr>
      <w:tr w:rsidR="00DA2522" w14:paraId="27EBAB88" w14:textId="77777777">
        <w:trPr>
          <w:jc w:val="center"/>
        </w:trPr>
        <w:tc>
          <w:tcPr>
            <w:tcW w:w="1700" w:type="dxa"/>
            <w:vAlign w:val="center"/>
          </w:tcPr>
          <w:p w14:paraId="74F07CB2" w14:textId="77777777" w:rsidR="00DA2522" w:rsidRDefault="00000000">
            <w:r>
              <w:rPr>
                <w:sz w:val="14"/>
              </w:rPr>
              <w:t>EC erasure completeness</w:t>
            </w:r>
          </w:p>
        </w:tc>
        <w:tc>
          <w:tcPr>
            <w:tcW w:w="3000" w:type="dxa"/>
            <w:vAlign w:val="center"/>
          </w:tcPr>
          <w:p w14:paraId="48ECA875" w14:textId="77777777" w:rsidR="00DA2522" w:rsidRDefault="00000000">
            <w:r>
              <w:rPr>
                <w:sz w:val="14"/>
              </w:rPr>
              <w:t>Forgetting/unlearning verification; FORGETEVAL-Adv evaluates forgetting across 13 agent-memory configurations and maps to real GDPR erasure incidents; Ghost Vectors reconstruction rate is the inverse</w:t>
            </w:r>
          </w:p>
        </w:tc>
        <w:tc>
          <w:tcPr>
            <w:tcW w:w="2600" w:type="dxa"/>
            <w:vAlign w:val="center"/>
          </w:tcPr>
          <w:p w14:paraId="3A076AA5" w14:textId="77777777" w:rsidR="00DA2522" w:rsidRDefault="00000000">
            <w:r>
              <w:rPr>
                <w:sz w:val="14"/>
              </w:rPr>
              <w:t>Borrowed construct; ratio form ours; physical-layer check per Ghost Vectors</w:t>
            </w:r>
          </w:p>
        </w:tc>
        <w:tc>
          <w:tcPr>
            <w:tcW w:w="2200" w:type="dxa"/>
            <w:vAlign w:val="center"/>
          </w:tcPr>
          <w:p w14:paraId="4993031F" w14:textId="77777777" w:rsidR="00DA2522" w:rsidRDefault="00000000">
            <w:r>
              <w:rPr>
                <w:sz w:val="14"/>
              </w:rPr>
              <w:t>[R47], [R25]</w:t>
            </w:r>
          </w:p>
        </w:tc>
      </w:tr>
      <w:tr w:rsidR="00DA2522" w14:paraId="569BC251" w14:textId="77777777">
        <w:trPr>
          <w:jc w:val="center"/>
        </w:trPr>
        <w:tc>
          <w:tcPr>
            <w:tcW w:w="1700" w:type="dxa"/>
            <w:vAlign w:val="center"/>
          </w:tcPr>
          <w:p w14:paraId="17205022" w14:textId="77777777" w:rsidR="00DA2522" w:rsidRDefault="00000000">
            <w:r>
              <w:rPr>
                <w:sz w:val="14"/>
              </w:rPr>
              <w:t>CSLR cross-scope leakage</w:t>
            </w:r>
          </w:p>
        </w:tc>
        <w:tc>
          <w:tcPr>
            <w:tcW w:w="3000" w:type="dxa"/>
            <w:vAlign w:val="center"/>
          </w:tcPr>
          <w:p w14:paraId="4DAEE604" w14:textId="77777777" w:rsidR="00DA2522" w:rsidRDefault="00000000">
            <w:r>
              <w:rPr>
                <w:sz w:val="14"/>
              </w:rPr>
              <w:t>MemLeak Cross-Modal Leakage Rate: retracted facts leaked ÷ all facts, judged by a 3-model LLM ensemble with human validation; canary exposure per Carlini et al. 2019</w:t>
            </w:r>
          </w:p>
        </w:tc>
        <w:tc>
          <w:tcPr>
            <w:tcW w:w="2600" w:type="dxa"/>
            <w:vAlign w:val="center"/>
          </w:tcPr>
          <w:p w14:paraId="49BB1419" w14:textId="77777777" w:rsidR="00DA2522" w:rsidRDefault="00000000">
            <w:r>
              <w:rPr>
                <w:sz w:val="14"/>
              </w:rPr>
              <w:t>Adopt MemLeak formalism and judge-ensemble validation; canaries per Carlini</w:t>
            </w:r>
          </w:p>
        </w:tc>
        <w:tc>
          <w:tcPr>
            <w:tcW w:w="2200" w:type="dxa"/>
            <w:vAlign w:val="center"/>
          </w:tcPr>
          <w:p w14:paraId="28FEEB75" w14:textId="77777777" w:rsidR="00DA2522" w:rsidRDefault="00000000">
            <w:r>
              <w:rPr>
                <w:sz w:val="14"/>
              </w:rPr>
              <w:t>[R46], [R48]</w:t>
            </w:r>
          </w:p>
        </w:tc>
      </w:tr>
      <w:tr w:rsidR="00DA2522" w14:paraId="5C8BF941" w14:textId="77777777">
        <w:trPr>
          <w:jc w:val="center"/>
        </w:trPr>
        <w:tc>
          <w:tcPr>
            <w:tcW w:w="1700" w:type="dxa"/>
            <w:vAlign w:val="center"/>
          </w:tcPr>
          <w:p w14:paraId="307A7CF6" w14:textId="77777777" w:rsidR="00DA2522" w:rsidRDefault="00000000">
            <w:r>
              <w:rPr>
                <w:sz w:val="14"/>
              </w:rPr>
              <w:t>SMUR stale memory use</w:t>
            </w:r>
          </w:p>
        </w:tc>
        <w:tc>
          <w:tcPr>
            <w:tcW w:w="3000" w:type="dxa"/>
            <w:vAlign w:val="center"/>
          </w:tcPr>
          <w:p w14:paraId="6618B38B" w14:textId="77777777" w:rsidR="00DA2522" w:rsidRDefault="00000000">
            <w:r>
              <w:rPr>
                <w:sz w:val="14"/>
              </w:rPr>
              <w:t>No published ratio; phenomenon documented (Databricks, Apr. 2026: agents reused earlier incorrect results with higher confidence); industry rubrics MemoryFreshness / FactualAccuracy</w:t>
            </w:r>
          </w:p>
        </w:tc>
        <w:tc>
          <w:tcPr>
            <w:tcW w:w="2600" w:type="dxa"/>
            <w:vAlign w:val="center"/>
          </w:tcPr>
          <w:p w14:paraId="5CACD4F4" w14:textId="77777777" w:rsidR="00DA2522" w:rsidRDefault="00000000">
            <w:r>
              <w:rPr>
                <w:sz w:val="14"/>
              </w:rPr>
              <w:t>Bespoke ratio; attribution rule "in context and referenced in output" ours</w:t>
            </w:r>
          </w:p>
        </w:tc>
        <w:tc>
          <w:tcPr>
            <w:tcW w:w="2200" w:type="dxa"/>
            <w:vAlign w:val="center"/>
          </w:tcPr>
          <w:p w14:paraId="6D727F56" w14:textId="77777777" w:rsidR="00DA2522" w:rsidRDefault="00000000">
            <w:r>
              <w:rPr>
                <w:sz w:val="14"/>
              </w:rPr>
              <w:t>[R50], [R51]</w:t>
            </w:r>
          </w:p>
        </w:tc>
      </w:tr>
      <w:tr w:rsidR="00DA2522" w14:paraId="7541B890" w14:textId="77777777">
        <w:trPr>
          <w:jc w:val="center"/>
        </w:trPr>
        <w:tc>
          <w:tcPr>
            <w:tcW w:w="1700" w:type="dxa"/>
            <w:vAlign w:val="center"/>
          </w:tcPr>
          <w:p w14:paraId="00E62BED" w14:textId="77777777" w:rsidR="00DA2522" w:rsidRDefault="00000000">
            <w:r>
              <w:rPr>
                <w:sz w:val="14"/>
              </w:rPr>
              <w:t>UIR unsupported inference</w:t>
            </w:r>
          </w:p>
        </w:tc>
        <w:tc>
          <w:tcPr>
            <w:tcW w:w="3000" w:type="dxa"/>
            <w:vAlign w:val="center"/>
          </w:tcPr>
          <w:p w14:paraId="192FD980" w14:textId="77777777" w:rsidR="00DA2522" w:rsidRDefault="00000000">
            <w:r>
              <w:rPr>
                <w:sz w:val="14"/>
              </w:rPr>
              <w:t>Groundedness / faithfulness metrics (RAG evaluation; industry Groundedness rubric) applied to derived memories</w:t>
            </w:r>
          </w:p>
        </w:tc>
        <w:tc>
          <w:tcPr>
            <w:tcW w:w="2600" w:type="dxa"/>
            <w:vAlign w:val="center"/>
          </w:tcPr>
          <w:p w14:paraId="5BB7B208" w14:textId="77777777" w:rsidR="00DA2522" w:rsidRDefault="00000000">
            <w:r>
              <w:rPr>
                <w:sz w:val="14"/>
              </w:rPr>
              <w:t>Borrowed construct; memory-specific denominator ours</w:t>
            </w:r>
          </w:p>
        </w:tc>
        <w:tc>
          <w:tcPr>
            <w:tcW w:w="2200" w:type="dxa"/>
            <w:vAlign w:val="center"/>
          </w:tcPr>
          <w:p w14:paraId="3135BA88" w14:textId="77777777" w:rsidR="00DA2522" w:rsidRDefault="00000000">
            <w:r>
              <w:rPr>
                <w:sz w:val="14"/>
              </w:rPr>
              <w:t>[R51]</w:t>
            </w:r>
          </w:p>
        </w:tc>
      </w:tr>
      <w:tr w:rsidR="00DA2522" w14:paraId="1DDC63EA" w14:textId="77777777">
        <w:trPr>
          <w:jc w:val="center"/>
        </w:trPr>
        <w:tc>
          <w:tcPr>
            <w:tcW w:w="1700" w:type="dxa"/>
            <w:vAlign w:val="center"/>
          </w:tcPr>
          <w:p w14:paraId="75525F40" w14:textId="77777777" w:rsidR="00DA2522" w:rsidRDefault="00000000">
            <w:r>
              <w:rPr>
                <w:sz w:val="14"/>
              </w:rPr>
              <w:t>PVR purpose violation</w:t>
            </w:r>
          </w:p>
        </w:tc>
        <w:tc>
          <w:tcPr>
            <w:tcW w:w="3000" w:type="dxa"/>
            <w:vAlign w:val="center"/>
          </w:tcPr>
          <w:p w14:paraId="741D0C83" w14:textId="77777777" w:rsidR="00DA2522" w:rsidRDefault="00000000">
            <w:r>
              <w:rPr>
                <w:sz w:val="14"/>
              </w:rPr>
              <w:t>Purpose-based access control literature; no published memory-eval metric</w:t>
            </w:r>
          </w:p>
        </w:tc>
        <w:tc>
          <w:tcPr>
            <w:tcW w:w="2600" w:type="dxa"/>
            <w:vAlign w:val="center"/>
          </w:tcPr>
          <w:p w14:paraId="1975FDF2" w14:textId="77777777" w:rsidR="00DA2522" w:rsidRDefault="00000000">
            <w:r>
              <w:rPr>
                <w:sz w:val="14"/>
              </w:rPr>
              <w:t>Bespoke</w:t>
            </w:r>
          </w:p>
        </w:tc>
        <w:tc>
          <w:tcPr>
            <w:tcW w:w="2200" w:type="dxa"/>
            <w:vAlign w:val="center"/>
          </w:tcPr>
          <w:p w14:paraId="5E9BE63C" w14:textId="77777777" w:rsidR="00DA2522" w:rsidRDefault="00000000">
            <w:r>
              <w:rPr>
                <w:sz w:val="14"/>
              </w:rPr>
              <w:t>—</w:t>
            </w:r>
          </w:p>
        </w:tc>
      </w:tr>
      <w:tr w:rsidR="00DA2522" w14:paraId="53A3BE0F" w14:textId="77777777">
        <w:trPr>
          <w:jc w:val="center"/>
        </w:trPr>
        <w:tc>
          <w:tcPr>
            <w:tcW w:w="1700" w:type="dxa"/>
            <w:vAlign w:val="center"/>
          </w:tcPr>
          <w:p w14:paraId="2AF1D2DD" w14:textId="77777777" w:rsidR="00DA2522" w:rsidRDefault="00000000">
            <w:r>
              <w:rPr>
                <w:sz w:val="14"/>
              </w:rPr>
              <w:t>ACR authority collapse</w:t>
            </w:r>
          </w:p>
        </w:tc>
        <w:tc>
          <w:tcPr>
            <w:tcW w:w="3000" w:type="dxa"/>
            <w:vAlign w:val="center"/>
          </w:tcPr>
          <w:p w14:paraId="1A332D5F" w14:textId="77777777" w:rsidR="00DA2522" w:rsidRDefault="00000000">
            <w:r>
              <w:rPr>
                <w:sz w:val="14"/>
              </w:rPr>
              <w:t>AuthMem-Bench defines and measures authority collapse at the consolidation boundary</w:t>
            </w:r>
          </w:p>
        </w:tc>
        <w:tc>
          <w:tcPr>
            <w:tcW w:w="2600" w:type="dxa"/>
            <w:vAlign w:val="center"/>
          </w:tcPr>
          <w:p w14:paraId="38605B1F" w14:textId="77777777" w:rsidR="00DA2522" w:rsidRDefault="00000000">
            <w:r>
              <w:rPr>
                <w:sz w:val="14"/>
              </w:rPr>
              <w:t>Borrowed construct; ratio form ours</w:t>
            </w:r>
          </w:p>
        </w:tc>
        <w:tc>
          <w:tcPr>
            <w:tcW w:w="2200" w:type="dxa"/>
            <w:vAlign w:val="center"/>
          </w:tcPr>
          <w:p w14:paraId="63948449" w14:textId="77777777" w:rsidR="00DA2522" w:rsidRDefault="00000000">
            <w:r>
              <w:rPr>
                <w:sz w:val="14"/>
              </w:rPr>
              <w:t>[R27]</w:t>
            </w:r>
          </w:p>
        </w:tc>
      </w:tr>
      <w:tr w:rsidR="00DA2522" w14:paraId="28ADB48D" w14:textId="77777777">
        <w:trPr>
          <w:jc w:val="center"/>
        </w:trPr>
        <w:tc>
          <w:tcPr>
            <w:tcW w:w="1700" w:type="dxa"/>
            <w:vAlign w:val="center"/>
          </w:tcPr>
          <w:p w14:paraId="4BBF219C" w14:textId="77777777" w:rsidR="00DA2522" w:rsidRDefault="00000000">
            <w:r>
              <w:rPr>
                <w:sz w:val="14"/>
              </w:rPr>
              <w:t>FRR false restriction</w:t>
            </w:r>
          </w:p>
        </w:tc>
        <w:tc>
          <w:tcPr>
            <w:tcW w:w="3000" w:type="dxa"/>
            <w:vAlign w:val="center"/>
          </w:tcPr>
          <w:p w14:paraId="7E79478B" w14:textId="77777777" w:rsidR="00DA2522" w:rsidRDefault="00000000">
            <w:r>
              <w:rPr>
                <w:sz w:val="14"/>
              </w:rPr>
              <w:t>"Remember, Verify, or Ask?" defines paired Over-memory / Under-memory rates; over-refusal benchmarks in safety evaluation</w:t>
            </w:r>
          </w:p>
        </w:tc>
        <w:tc>
          <w:tcPr>
            <w:tcW w:w="2600" w:type="dxa"/>
            <w:vAlign w:val="center"/>
          </w:tcPr>
          <w:p w14:paraId="0DBA9297" w14:textId="77777777" w:rsidR="00DA2522" w:rsidRDefault="00000000">
            <w:r>
              <w:rPr>
                <w:sz w:val="14"/>
              </w:rPr>
              <w:t>Borrowed pairing principle; definition ours</w:t>
            </w:r>
          </w:p>
        </w:tc>
        <w:tc>
          <w:tcPr>
            <w:tcW w:w="2200" w:type="dxa"/>
            <w:vAlign w:val="center"/>
          </w:tcPr>
          <w:p w14:paraId="49965E55" w14:textId="77777777" w:rsidR="00DA2522" w:rsidRDefault="00000000">
            <w:r>
              <w:rPr>
                <w:sz w:val="14"/>
              </w:rPr>
              <w:t>[R49]</w:t>
            </w:r>
          </w:p>
        </w:tc>
      </w:tr>
      <w:tr w:rsidR="00DA2522" w14:paraId="46532E6B" w14:textId="77777777">
        <w:trPr>
          <w:jc w:val="center"/>
        </w:trPr>
        <w:tc>
          <w:tcPr>
            <w:tcW w:w="1700" w:type="dxa"/>
            <w:vAlign w:val="center"/>
          </w:tcPr>
          <w:p w14:paraId="2AF45E9D" w14:textId="77777777" w:rsidR="00DA2522" w:rsidRDefault="00000000">
            <w:r>
              <w:rPr>
                <w:sz w:val="14"/>
              </w:rPr>
              <w:t>GLO governance latency</w:t>
            </w:r>
          </w:p>
        </w:tc>
        <w:tc>
          <w:tcPr>
            <w:tcW w:w="3000" w:type="dxa"/>
            <w:vAlign w:val="center"/>
          </w:tcPr>
          <w:p w14:paraId="7BDE7B42" w14:textId="77777777" w:rsidR="00DA2522" w:rsidRDefault="00000000">
            <w:r>
              <w:rPr>
                <w:sz w:val="14"/>
              </w:rPr>
              <w:t>Standard policy-enforcement overhead (p95) in systems practice</w:t>
            </w:r>
          </w:p>
        </w:tc>
        <w:tc>
          <w:tcPr>
            <w:tcW w:w="2600" w:type="dxa"/>
            <w:vAlign w:val="center"/>
          </w:tcPr>
          <w:p w14:paraId="212B8518" w14:textId="77777777" w:rsidR="00DA2522" w:rsidRDefault="00000000">
            <w:r>
              <w:rPr>
                <w:sz w:val="14"/>
              </w:rPr>
              <w:t>Standard</w:t>
            </w:r>
          </w:p>
        </w:tc>
        <w:tc>
          <w:tcPr>
            <w:tcW w:w="2200" w:type="dxa"/>
            <w:vAlign w:val="center"/>
          </w:tcPr>
          <w:p w14:paraId="1D9DB5C6" w14:textId="77777777" w:rsidR="00DA2522" w:rsidRDefault="00000000">
            <w:r>
              <w:rPr>
                <w:sz w:val="14"/>
              </w:rPr>
              <w:t>—</w:t>
            </w:r>
          </w:p>
        </w:tc>
      </w:tr>
      <w:tr w:rsidR="00DA2522" w14:paraId="57A81BF5" w14:textId="77777777">
        <w:trPr>
          <w:jc w:val="center"/>
        </w:trPr>
        <w:tc>
          <w:tcPr>
            <w:tcW w:w="1700" w:type="dxa"/>
            <w:vAlign w:val="center"/>
          </w:tcPr>
          <w:p w14:paraId="00288F46" w14:textId="77777777" w:rsidR="00DA2522" w:rsidRDefault="00000000">
            <w:r>
              <w:rPr>
                <w:sz w:val="14"/>
              </w:rPr>
              <w:t>EPC, TTE, consolidation-rejection rate</w:t>
            </w:r>
          </w:p>
        </w:tc>
        <w:tc>
          <w:tcPr>
            <w:tcW w:w="3000" w:type="dxa"/>
            <w:vAlign w:val="center"/>
          </w:tcPr>
          <w:p w14:paraId="2F0D2016" w14:textId="77777777" w:rsidR="00DA2522" w:rsidRDefault="00000000">
            <w:r>
              <w:rPr>
                <w:sz w:val="14"/>
              </w:rPr>
              <w:t>None found</w:t>
            </w:r>
          </w:p>
        </w:tc>
        <w:tc>
          <w:tcPr>
            <w:tcW w:w="2600" w:type="dxa"/>
            <w:vAlign w:val="center"/>
          </w:tcPr>
          <w:p w14:paraId="2594B38D" w14:textId="77777777" w:rsidR="00DA2522" w:rsidRDefault="00000000">
            <w:r>
              <w:rPr>
                <w:sz w:val="14"/>
              </w:rPr>
              <w:t>Bespoke</w:t>
            </w:r>
          </w:p>
        </w:tc>
        <w:tc>
          <w:tcPr>
            <w:tcW w:w="2200" w:type="dxa"/>
            <w:vAlign w:val="center"/>
          </w:tcPr>
          <w:p w14:paraId="54B8FBFE" w14:textId="77777777" w:rsidR="00DA2522" w:rsidRDefault="00000000">
            <w:r>
              <w:rPr>
                <w:sz w:val="14"/>
              </w:rPr>
              <w:t>—</w:t>
            </w:r>
          </w:p>
        </w:tc>
      </w:tr>
      <w:tr w:rsidR="00DA2522" w14:paraId="24506F60" w14:textId="77777777">
        <w:trPr>
          <w:jc w:val="center"/>
        </w:trPr>
        <w:tc>
          <w:tcPr>
            <w:tcW w:w="1700" w:type="dxa"/>
            <w:vAlign w:val="center"/>
          </w:tcPr>
          <w:p w14:paraId="67457A4A" w14:textId="77777777" w:rsidR="00DA2522" w:rsidRDefault="00000000">
            <w:r>
              <w:rPr>
                <w:sz w:val="14"/>
              </w:rPr>
              <w:t>Utility pairing</w:t>
            </w:r>
          </w:p>
        </w:tc>
        <w:tc>
          <w:tcPr>
            <w:tcW w:w="3000" w:type="dxa"/>
            <w:vAlign w:val="center"/>
          </w:tcPr>
          <w:p w14:paraId="6F71657C" w14:textId="77777777" w:rsidR="00DA2522" w:rsidRDefault="00000000">
            <w:r>
              <w:rPr>
                <w:sz w:val="14"/>
              </w:rPr>
              <w:t>MemoryArena shows near-perfect LoCoMo scores collapsing to 40–60% on decision-relevant tasks — the gap utility pairing guards against</w:t>
            </w:r>
          </w:p>
        </w:tc>
        <w:tc>
          <w:tcPr>
            <w:tcW w:w="2600" w:type="dxa"/>
            <w:vAlign w:val="center"/>
          </w:tcPr>
          <w:p w14:paraId="6C4F48DF" w14:textId="77777777" w:rsidR="00DA2522" w:rsidRDefault="00000000">
            <w:r>
              <w:rPr>
                <w:sz w:val="14"/>
              </w:rPr>
              <w:t>Borrowed motivation</w:t>
            </w:r>
          </w:p>
        </w:tc>
        <w:tc>
          <w:tcPr>
            <w:tcW w:w="2200" w:type="dxa"/>
            <w:vAlign w:val="center"/>
          </w:tcPr>
          <w:p w14:paraId="38AB7265" w14:textId="77777777" w:rsidR="00DA2522" w:rsidRDefault="00000000">
            <w:r>
              <w:rPr>
                <w:sz w:val="14"/>
              </w:rPr>
              <w:t>[R50]</w:t>
            </w:r>
          </w:p>
        </w:tc>
      </w:tr>
    </w:tbl>
    <w:p w14:paraId="3CCD71D1" w14:textId="77777777" w:rsidR="00DA2522" w:rsidRDefault="00DA2522">
      <w:pPr>
        <w:spacing w:after="0"/>
      </w:pPr>
    </w:p>
    <w:p w14:paraId="309444C1" w14:textId="77777777" w:rsidR="00DA2522" w:rsidRDefault="00000000">
      <w:pPr>
        <w:pStyle w:val="Heading2"/>
      </w:pPr>
      <w:r>
        <w:t>15.1 Utility pairing and additional metrics</w:t>
      </w:r>
    </w:p>
    <w:p w14:paraId="431E742F" w14:textId="77777777" w:rsidR="00DA2522" w:rsidRDefault="00000000">
      <w:pPr>
        <w:spacing w:after="100" w:line="252" w:lineRule="auto"/>
      </w:pPr>
      <w:r>
        <w:t>Every metric above is a governance ratio, and a system that stores nothing scores perfectly on all of them. To prevent the framework optimising toward an empty store, each governance metric should be paired with a utility metric measured on the same workload: governed versus ungoverned recall@k, task-success rate with memory enabled versus disabled, and a false-restriction rate (memories blocked that were in fact authorised and relevant). Over-blocking is the failure mode nobody measures. Additional metrics recommended:</w:t>
      </w:r>
    </w:p>
    <w:p w14:paraId="025C0146" w14:textId="77777777" w:rsidR="00DA2522" w:rsidRDefault="00000000">
      <w:pPr>
        <w:pStyle w:val="ListBullet"/>
        <w:spacing w:after="60"/>
      </w:pPr>
      <w:r>
        <w:rPr>
          <w:b/>
        </w:rPr>
        <w:t xml:space="preserve">Authority Collapse Rate (ACR). </w:t>
      </w:r>
      <w:r>
        <w:t>Consolidated memories whose assertion_type or source authority escalated without a corresponding increase in evidence ÷ consolidated memories. Target: zero in conformance; production alert on first occurrence.</w:t>
      </w:r>
    </w:p>
    <w:p w14:paraId="1EA997E0" w14:textId="77777777" w:rsidR="00DA2522" w:rsidRDefault="00000000">
      <w:pPr>
        <w:pStyle w:val="ListBullet"/>
        <w:spacing w:after="60"/>
      </w:pPr>
      <w:r>
        <w:rPr>
          <w:b/>
        </w:rPr>
        <w:t xml:space="preserve">False Restriction Rate (FRR). </w:t>
      </w:r>
      <w:r>
        <w:t>Authorised, relevant memories excluded by policy filters ÷ authorised, relevant memories in the fixture. Paired with CSLR so that isolation is not achieved by returning nothing.</w:t>
      </w:r>
    </w:p>
    <w:p w14:paraId="6B341DC1" w14:textId="77777777" w:rsidR="00DA2522" w:rsidRDefault="00000000">
      <w:pPr>
        <w:pStyle w:val="ListBullet"/>
        <w:spacing w:after="60"/>
      </w:pPr>
      <w:r>
        <w:rPr>
          <w:b/>
        </w:rPr>
        <w:lastRenderedPageBreak/>
        <w:t xml:space="preserve">Governance Latency Overhead (GLO). </w:t>
      </w:r>
      <w:r>
        <w:t>p95 milliseconds added per WRITE / READ / UPDATE by policy, risk and audit evaluation, against the Section 9.1 budget.</w:t>
      </w:r>
    </w:p>
    <w:p w14:paraId="49665A7E" w14:textId="77777777" w:rsidR="00DA2522" w:rsidRDefault="00000000">
      <w:pPr>
        <w:pStyle w:val="ListBullet"/>
        <w:spacing w:after="60"/>
      </w:pPr>
      <w:r>
        <w:rPr>
          <w:b/>
        </w:rPr>
        <w:t xml:space="preserve">Effective Policy Coverage (EPC). </w:t>
      </w:r>
      <w:r>
        <w:t>Persisted memories with a resolvable effective_policy_hash ÷ persisted memories. Target: 100%; an unpolicied memory is a defect.</w:t>
      </w:r>
    </w:p>
    <w:p w14:paraId="76AA6478" w14:textId="77777777" w:rsidR="00DA2522" w:rsidRDefault="00000000">
      <w:pPr>
        <w:pStyle w:val="ListBullet"/>
        <w:spacing w:after="60"/>
      </w:pPr>
      <w:r>
        <w:rPr>
          <w:b/>
        </w:rPr>
        <w:t xml:space="preserve">Time-to-Erasure (TTE). </w:t>
      </w:r>
      <w:r>
        <w:t>Elapsed time from a valid deletion request to physical-layer verification across all representations, against the retention/rights SLA.</w:t>
      </w:r>
    </w:p>
    <w:p w14:paraId="01DD417D" w14:textId="77777777" w:rsidR="00DA2522" w:rsidRDefault="00000000">
      <w:pPr>
        <w:pStyle w:val="ListBullet"/>
        <w:spacing w:after="60"/>
      </w:pPr>
      <w:r>
        <w:rPr>
          <w:b/>
        </w:rPr>
        <w:t xml:space="preserve">Consolidation Review Rejection Rate. </w:t>
      </w:r>
      <w:r>
        <w:t>Proposed consolidation diffs rejected by policy check or reviewer ÷ proposed diffs; a rising rate indicates upstream contamination (Memory Contagion) or extractor drift.</w:t>
      </w:r>
    </w:p>
    <w:p w14:paraId="20260F7C" w14:textId="77777777" w:rsidR="00DA2522" w:rsidRDefault="00000000">
      <w:pPr>
        <w:spacing w:after="100" w:line="252" w:lineRule="auto"/>
      </w:pPr>
      <w:r>
        <w:t>SMUR as defined requires an attribution rule: retrieved is not used. A workable proxy is "present in the assembled context and referenced in the output"; the specification should state the rule so that the metric is comparable across releases. "Effectively zero" targets should be read as zero in conformance runs and an alert on first occurrence in production, measured by canaries.</w:t>
      </w:r>
    </w:p>
    <w:p w14:paraId="6F2CCEEE" w14:textId="77777777" w:rsidR="00DA2522" w:rsidRDefault="00000000">
      <w:pPr>
        <w:pStyle w:val="Heading1"/>
      </w:pPr>
      <w:r>
        <w:t>16. Recommended Implementation and Research Roadmap</w:t>
      </w:r>
    </w:p>
    <w:p w14:paraId="250B6ADC" w14:textId="77777777" w:rsidR="00DA2522" w:rsidRDefault="00000000">
      <w:pPr>
        <w:pStyle w:val="Heading2"/>
      </w:pPr>
      <w:r>
        <w:t>Phase 0 — Legal / scope confirmation</w:t>
      </w:r>
    </w:p>
    <w:p w14:paraId="420F5110" w14:textId="77777777" w:rsidR="00DA2522" w:rsidRDefault="00000000">
      <w:pPr>
        <w:pStyle w:val="ListBullet"/>
        <w:spacing w:after="50"/>
      </w:pPr>
      <w:r>
        <w:rPr>
          <w:b/>
        </w:rPr>
        <w:t xml:space="preserve">Use-case classification. </w:t>
      </w:r>
      <w:r>
        <w:t>Determine where memory will be used: internal research, advisory workflow, client-facing application, decision support, or platform infrastructure.</w:t>
      </w:r>
    </w:p>
    <w:p w14:paraId="60A5B62A" w14:textId="77777777" w:rsidR="00DA2522" w:rsidRDefault="00000000">
      <w:pPr>
        <w:pStyle w:val="ListBullet"/>
        <w:spacing w:after="50"/>
      </w:pPr>
      <w:r>
        <w:rPr>
          <w:b/>
        </w:rPr>
        <w:t xml:space="preserve">Entity and jurisdiction mapping. </w:t>
      </w:r>
      <w:r>
        <w:t>Identify relevant operating entities, data-subject locations, controller/processor roles, record categories, information barriers and applicable retention obligations.</w:t>
      </w:r>
    </w:p>
    <w:p w14:paraId="504A63EA" w14:textId="77777777" w:rsidR="00DA2522" w:rsidRDefault="00000000">
      <w:pPr>
        <w:pStyle w:val="ListBullet"/>
        <w:spacing w:after="50"/>
      </w:pPr>
      <w:r>
        <w:rPr>
          <w:b/>
        </w:rPr>
        <w:t xml:space="preserve">Third-party relationship mapping. </w:t>
      </w:r>
      <w:r>
        <w:t>Distinguish self-hosted OSS from hosted services and map the actual dependency/service chain.</w:t>
      </w:r>
    </w:p>
    <w:p w14:paraId="50E7EF1C" w14:textId="77777777" w:rsidR="00DA2522" w:rsidRDefault="00000000">
      <w:pPr>
        <w:pStyle w:val="ListBullet"/>
        <w:spacing w:after="50"/>
      </w:pPr>
      <w:r>
        <w:rPr>
          <w:b/>
        </w:rPr>
        <w:t xml:space="preserve">Legal review. </w:t>
      </w:r>
      <w:r>
        <w:t>Confirm GDPR legal bases, special-category handling, international transfers, Regulation S-P scope, adviser recordkeeping, and high-risk AI Act applicability by use case.</w:t>
      </w:r>
    </w:p>
    <w:p w14:paraId="6CCCDC9C" w14:textId="77777777" w:rsidR="00DA2522" w:rsidRDefault="00000000">
      <w:pPr>
        <w:pStyle w:val="ListBullet"/>
        <w:spacing w:after="60"/>
      </w:pPr>
      <w:r>
        <w:rPr>
          <w:b/>
        </w:rPr>
        <w:t xml:space="preserve">Governance latency budget. </w:t>
      </w:r>
      <w:r>
        <w:t>Set the p95 governance-overhead budget per memory operation on the retrieval hot path (Section 9.1); it is a design input, not a tuning parameter.</w:t>
      </w:r>
    </w:p>
    <w:p w14:paraId="0A384BE7" w14:textId="77777777" w:rsidR="00DA2522" w:rsidRDefault="00000000">
      <w:pPr>
        <w:pStyle w:val="ListBullet"/>
        <w:spacing w:after="60"/>
      </w:pPr>
      <w:r>
        <w:rPr>
          <w:b/>
        </w:rPr>
        <w:t xml:space="preserve">Bank-supervised entity check. </w:t>
      </w:r>
      <w:r>
        <w:t>Confirm whether any entity operating memory is separately Fed/OCC/FDIC-supervised; if so SR 26-2 becomes directly binding rather than an analogue (Section 5.4).</w:t>
      </w:r>
    </w:p>
    <w:p w14:paraId="2CC4A0BB" w14:textId="77777777" w:rsidR="00DA2522" w:rsidRDefault="00000000">
      <w:pPr>
        <w:pStyle w:val="Heading2"/>
      </w:pPr>
      <w:r>
        <w:t>Phase 1 — Foundational controls before production persistent memory</w:t>
      </w:r>
    </w:p>
    <w:p w14:paraId="0E56E82C" w14:textId="77777777" w:rsidR="00DA2522" w:rsidRDefault="00000000">
      <w:pPr>
        <w:pStyle w:val="ListBullet"/>
        <w:spacing w:after="50"/>
      </w:pPr>
      <w:r>
        <w:t>C1 lineage/provenance and C26 technology-version lineage.</w:t>
      </w:r>
    </w:p>
    <w:p w14:paraId="3715A957" w14:textId="77777777" w:rsidR="00DA2522" w:rsidRDefault="00000000">
      <w:pPr>
        <w:pStyle w:val="ListBullet"/>
        <w:spacing w:after="50"/>
      </w:pPr>
      <w:r>
        <w:t>C13 purpose/legal-basis binding and C21 purpose-bound use authorization.</w:t>
      </w:r>
    </w:p>
    <w:p w14:paraId="550E41C6" w14:textId="77777777" w:rsidR="00DA2522" w:rsidRDefault="00000000">
      <w:pPr>
        <w:pStyle w:val="ListBullet"/>
        <w:spacing w:after="50"/>
      </w:pPr>
      <w:r>
        <w:t>C16 observed/extracted/inferred/derived classification and C20 source-authority hierarchy.</w:t>
      </w:r>
    </w:p>
    <w:p w14:paraId="1EFE3A99" w14:textId="77777777" w:rsidR="00DA2522" w:rsidRDefault="00000000">
      <w:pPr>
        <w:pStyle w:val="ListBullet"/>
        <w:spacing w:after="50"/>
      </w:pPr>
      <w:r>
        <w:t>C17 tenant/semantic isolation, C19 information barriers/MNPI, C23 operation-level authorization.</w:t>
      </w:r>
    </w:p>
    <w:p w14:paraId="1A1AC81E" w14:textId="77777777" w:rsidR="00DA2522" w:rsidRDefault="00000000">
      <w:pPr>
        <w:pStyle w:val="ListBullet"/>
        <w:spacing w:after="50"/>
      </w:pPr>
      <w:r>
        <w:t>C11 provider/region/egress pinning and full data-flow inventory.</w:t>
      </w:r>
    </w:p>
    <w:p w14:paraId="107BD3C9" w14:textId="77777777" w:rsidR="00DA2522" w:rsidRDefault="00000000">
      <w:pPr>
        <w:pStyle w:val="ListBullet"/>
        <w:spacing w:after="50"/>
      </w:pPr>
      <w:r>
        <w:t>C3 tamper-evident audit trail that avoids copying sensitive content unnecessarily.</w:t>
      </w:r>
    </w:p>
    <w:p w14:paraId="797871ED" w14:textId="77777777" w:rsidR="00DA2522" w:rsidRDefault="00000000">
      <w:pPr>
        <w:pStyle w:val="ListBullet"/>
        <w:spacing w:after="50"/>
      </w:pPr>
      <w:r>
        <w:t>C7 retention/legal hold and C24 lifecycle states.</w:t>
      </w:r>
    </w:p>
    <w:p w14:paraId="1CB77BDF" w14:textId="77777777" w:rsidR="00DA2522" w:rsidRDefault="00000000">
      <w:pPr>
        <w:pStyle w:val="ListBullet"/>
        <w:spacing w:after="50"/>
      </w:pPr>
      <w:r>
        <w:t>C2 end-to-end deletion primitives with verification.</w:t>
      </w:r>
    </w:p>
    <w:p w14:paraId="4617EDB5" w14:textId="77777777" w:rsidR="00DA2522" w:rsidRDefault="00000000">
      <w:pPr>
        <w:pStyle w:val="ListBullet"/>
        <w:spacing w:after="50"/>
      </w:pPr>
      <w:r>
        <w:t>C5/C10 OSS security and threat-model controls.</w:t>
      </w:r>
    </w:p>
    <w:p w14:paraId="1F070E79" w14:textId="77777777" w:rsidR="00DA2522" w:rsidRDefault="00000000">
      <w:pPr>
        <w:pStyle w:val="ListBullet"/>
        <w:spacing w:after="60"/>
      </w:pPr>
      <w:r>
        <w:rPr>
          <w:b/>
        </w:rPr>
        <w:t xml:space="preserve">Architecture hardening (Section 9.1). </w:t>
      </w:r>
      <w:r>
        <w:t>Enforced bypass prevention (backend credentials only in the gateway, mTLS, network policy), authorization as an index-level pre-filter, physical partitions for hard barriers.</w:t>
      </w:r>
    </w:p>
    <w:p w14:paraId="6CC30A00" w14:textId="77777777" w:rsidR="00DA2522" w:rsidRDefault="00000000">
      <w:pPr>
        <w:pStyle w:val="ListBullet"/>
        <w:spacing w:after="60"/>
      </w:pPr>
      <w:r>
        <w:rPr>
          <w:b/>
        </w:rPr>
        <w:t xml:space="preserve">C28 consolidation-job governance and C32 agent identity. </w:t>
      </w:r>
      <w:r>
        <w:t>Background writers and every delegating agent operate as identified gateway actors from the first pilot.</w:t>
      </w:r>
    </w:p>
    <w:p w14:paraId="11639E3C" w14:textId="77777777" w:rsidR="00DA2522" w:rsidRDefault="00000000">
      <w:pPr>
        <w:pStyle w:val="Heading2"/>
      </w:pPr>
      <w:r>
        <w:t>Phase 2 — Near-term maturity</w:t>
      </w:r>
    </w:p>
    <w:p w14:paraId="35BA1D6B" w14:textId="77777777" w:rsidR="00DA2522" w:rsidRDefault="00000000">
      <w:pPr>
        <w:pStyle w:val="ListBullet"/>
        <w:spacing w:after="50"/>
      </w:pPr>
      <w:r>
        <w:t>C14 unified subject-rights orchestration and C25 backup/restore compliance.</w:t>
      </w:r>
    </w:p>
    <w:p w14:paraId="40075F7F" w14:textId="77777777" w:rsidR="00DA2522" w:rsidRDefault="00000000">
      <w:pPr>
        <w:pStyle w:val="ListBullet"/>
        <w:spacing w:after="50"/>
      </w:pPr>
      <w:r>
        <w:lastRenderedPageBreak/>
        <w:t>C15 graph ontology/schema migration governance.</w:t>
      </w:r>
    </w:p>
    <w:p w14:paraId="75E76BDE" w14:textId="77777777" w:rsidR="00DA2522" w:rsidRDefault="00000000">
      <w:pPr>
        <w:pStyle w:val="ListBullet"/>
        <w:spacing w:after="50"/>
      </w:pPr>
      <w:r>
        <w:t>C6 drift/staleness/contradiction monitoring and C22 confidence/calibration research.</w:t>
      </w:r>
    </w:p>
    <w:p w14:paraId="4A221098" w14:textId="77777777" w:rsidR="00DA2522" w:rsidRDefault="00000000">
      <w:pPr>
        <w:pStyle w:val="ListBullet"/>
        <w:spacing w:after="50"/>
      </w:pPr>
      <w:r>
        <w:t>C18 degraded-mode/failover, portable export and C27 backend migration testing.</w:t>
      </w:r>
    </w:p>
    <w:p w14:paraId="17E3751B" w14:textId="77777777" w:rsidR="00DA2522" w:rsidRDefault="00000000">
      <w:pPr>
        <w:pStyle w:val="ListBullet"/>
        <w:spacing w:after="50"/>
      </w:pPr>
      <w:r>
        <w:t>Formal DPIA/use-case risk documentation; technical documentation for AI Act-scoped applications.</w:t>
      </w:r>
    </w:p>
    <w:p w14:paraId="0C105724" w14:textId="77777777" w:rsidR="00DA2522" w:rsidRDefault="00000000">
      <w:pPr>
        <w:pStyle w:val="ListBullet"/>
        <w:spacing w:after="50"/>
      </w:pPr>
      <w:r>
        <w:t>Backend conformance suite covering Memoria and Graphiti first, then Mem0/Zep as they are onboarded.</w:t>
      </w:r>
    </w:p>
    <w:p w14:paraId="69EBBABF" w14:textId="77777777" w:rsidR="00DA2522" w:rsidRDefault="00000000">
      <w:pPr>
        <w:pStyle w:val="ListBullet"/>
        <w:spacing w:after="60"/>
      </w:pPr>
      <w:r>
        <w:rPr>
          <w:b/>
        </w:rPr>
        <w:t xml:space="preserve">Minimum viable governed memory pilot. </w:t>
      </w:r>
      <w:r>
        <w:t>Deploy the Section 12.2 internal-only MVGM control set on one real internal workflow by end of Q4 2026, so that Phase 3 drift, calibration and contagion research has production traces rather than benchmark data, and so that the latency budget and bypass-prevention design are tested under load before the client-facing tier is attempted.</w:t>
      </w:r>
    </w:p>
    <w:p w14:paraId="136813D8" w14:textId="77777777" w:rsidR="00DA2522" w:rsidRDefault="00000000">
      <w:pPr>
        <w:pStyle w:val="Heading2"/>
      </w:pPr>
      <w:r>
        <w:t>Phase 3 — Research frontier: policy-aware and self-evolving memory</w:t>
      </w:r>
    </w:p>
    <w:p w14:paraId="1ACE12DF" w14:textId="77777777" w:rsidR="00DA2522" w:rsidRDefault="00000000">
      <w:pPr>
        <w:pStyle w:val="ListBullet"/>
        <w:spacing w:after="50"/>
      </w:pPr>
      <w:r>
        <w:rPr>
          <w:b/>
        </w:rPr>
        <w:t xml:space="preserve">Governed write policy. </w:t>
      </w:r>
      <w:r>
        <w:t>Learn what should be remembered subject to purpose, sensitivity, authority, expected future utility and cost.</w:t>
      </w:r>
    </w:p>
    <w:p w14:paraId="6EB6C0D6" w14:textId="77777777" w:rsidR="00DA2522" w:rsidRDefault="00000000">
      <w:pPr>
        <w:pStyle w:val="ListBullet"/>
        <w:spacing w:after="50"/>
      </w:pPr>
      <w:r>
        <w:rPr>
          <w:b/>
        </w:rPr>
        <w:t xml:space="preserve">Trust-aware reconciliation. </w:t>
      </w:r>
      <w:r>
        <w:t>Resolve conflicts using source authority, temporal validity, confidence and verification rather than similarity/recency alone.</w:t>
      </w:r>
    </w:p>
    <w:p w14:paraId="7410CB0C" w14:textId="77777777" w:rsidR="00DA2522" w:rsidRDefault="00000000">
      <w:pPr>
        <w:pStyle w:val="ListBullet"/>
        <w:spacing w:after="60"/>
      </w:pPr>
      <w:r>
        <w:rPr>
          <w:b/>
        </w:rPr>
        <w:t xml:space="preserve">C29 promotion gate and certified graph unlearning. </w:t>
      </w:r>
      <w:r>
        <w:t>Operationalise the memory→skill promotion gate; adapt a certified graph-unlearning method to Graphiti's bi-temporal structure for C2 (Section 8).</w:t>
      </w:r>
    </w:p>
    <w:p w14:paraId="434A8E8F" w14:textId="77777777" w:rsidR="00DA2522" w:rsidRDefault="00000000">
      <w:pPr>
        <w:pStyle w:val="ListBullet"/>
        <w:spacing w:after="60"/>
      </w:pPr>
      <w:r>
        <w:rPr>
          <w:b/>
        </w:rPr>
        <w:t xml:space="preserve">C33 model-change impact analysis and bias-contagion monitoring. </w:t>
      </w:r>
      <w:r>
        <w:t>Re-embedding impact analysis on backbone change; upstream experience-stream sampling for Memory-Contagion-class bias (C6).</w:t>
      </w:r>
    </w:p>
    <w:p w14:paraId="1E4BDFE3" w14:textId="77777777" w:rsidR="00DA2522" w:rsidRDefault="00000000">
      <w:pPr>
        <w:pStyle w:val="ListBullet"/>
        <w:spacing w:after="50"/>
      </w:pPr>
      <w:r>
        <w:rPr>
          <w:b/>
        </w:rPr>
        <w:t xml:space="preserve">Compliance-aware promotion. </w:t>
      </w:r>
      <w:r>
        <w:t>Before episodic memory becomes semantic knowledge, procedure or skill, re-evaluate provenance, authorization, transferability and downstream risk.</w:t>
      </w:r>
    </w:p>
    <w:p w14:paraId="5FD8DC6F" w14:textId="77777777" w:rsidR="00DA2522" w:rsidRDefault="00000000">
      <w:pPr>
        <w:pStyle w:val="ListBullet"/>
        <w:spacing w:after="50"/>
      </w:pPr>
      <w:r>
        <w:rPr>
          <w:b/>
        </w:rPr>
        <w:t xml:space="preserve">Memory drift observability. </w:t>
      </w:r>
      <w:r>
        <w:t>Track semantic, procedural and governance drift across time and versions.</w:t>
      </w:r>
    </w:p>
    <w:p w14:paraId="1D8D676B" w14:textId="77777777" w:rsidR="00DA2522" w:rsidRDefault="00000000">
      <w:pPr>
        <w:pStyle w:val="ListBullet"/>
        <w:spacing w:after="50"/>
      </w:pPr>
      <w:r>
        <w:rPr>
          <w:b/>
        </w:rPr>
        <w:t xml:space="preserve">Automated policy enforcement research. </w:t>
      </w:r>
      <w:r>
        <w:t>Investigate how much retention, restriction, deletion, confidence and purpose logic can be machine-assisted without delegating legal interpretation to the model.</w:t>
      </w:r>
    </w:p>
    <w:p w14:paraId="54C52639" w14:textId="77777777" w:rsidR="00DA2522" w:rsidRDefault="00000000">
      <w:pPr>
        <w:pStyle w:val="Heading1"/>
      </w:pPr>
      <w:r>
        <w:t>17. Open Research and Policy Questions</w:t>
      </w:r>
    </w:p>
    <w:p w14:paraId="2A5834F2" w14:textId="77777777" w:rsidR="00DA2522" w:rsidRDefault="00000000">
      <w:pPr>
        <w:pStyle w:val="ListNumber"/>
        <w:spacing w:after="60"/>
      </w:pPr>
      <w:r>
        <w:rPr>
          <w:b/>
        </w:rPr>
        <w:t xml:space="preserve">No standard memory object. </w:t>
      </w:r>
      <w:r>
        <w:t>There is no widely accepted schema for provenance, temporal validity, purpose, authority, confidence and lifecycle state across graph/vector/text memory.</w:t>
      </w:r>
    </w:p>
    <w:p w14:paraId="14F3F265" w14:textId="77777777" w:rsidR="00DA2522" w:rsidRDefault="00000000">
      <w:pPr>
        <w:pStyle w:val="ListNumber"/>
        <w:spacing w:after="60"/>
      </w:pPr>
      <w:r>
        <w:rPr>
          <w:b/>
        </w:rPr>
        <w:t xml:space="preserve">No accepted memory-erasure benchmark. </w:t>
      </w:r>
      <w:r>
        <w:t>Backend APIs expose deletion primitives, but end-to-end proof of erasure across vectors, graphs, summaries, caches and backups lacks a standard test methodology.</w:t>
      </w:r>
    </w:p>
    <w:p w14:paraId="6DA6D54B" w14:textId="77777777" w:rsidR="00DA2522" w:rsidRDefault="00000000">
      <w:pPr>
        <w:pStyle w:val="ListNumber"/>
        <w:spacing w:after="60"/>
      </w:pPr>
      <w:r>
        <w:rPr>
          <w:b/>
        </w:rPr>
        <w:t xml:space="preserve">No mature lineage standard for consolidation/promotion. </w:t>
      </w:r>
      <w:r>
        <w:t>When multiple episodes are compressed into one semantic memory or procedure, attribution and deletion become difficult.</w:t>
      </w:r>
    </w:p>
    <w:p w14:paraId="34519ED3" w14:textId="77777777" w:rsidR="00DA2522" w:rsidRDefault="00000000">
      <w:pPr>
        <w:pStyle w:val="ListNumber"/>
        <w:spacing w:after="60"/>
      </w:pPr>
      <w:r>
        <w:rPr>
          <w:b/>
        </w:rPr>
        <w:t xml:space="preserve">No settled governance model for inferred memory. </w:t>
      </w:r>
      <w:r>
        <w:t>Observed, extracted, inferred and predicted attributes raise different risks, but memory frameworks often collapse them into the same record type.</w:t>
      </w:r>
    </w:p>
    <w:p w14:paraId="3A46D2CE" w14:textId="77777777" w:rsidR="00DA2522" w:rsidRDefault="00000000">
      <w:pPr>
        <w:pStyle w:val="ListNumber"/>
        <w:spacing w:after="60"/>
      </w:pPr>
      <w:r>
        <w:rPr>
          <w:b/>
        </w:rPr>
        <w:t xml:space="preserve">No clear boundary between memory and regulated record. </w:t>
      </w:r>
      <w:r>
        <w:t>Applications need rules for when an agent transcript, summary, graph fact or recommendation becomes an official business record or system-of-record input.</w:t>
      </w:r>
    </w:p>
    <w:p w14:paraId="4A11ED9F" w14:textId="77777777" w:rsidR="00DA2522" w:rsidRDefault="00000000">
      <w:pPr>
        <w:pStyle w:val="ListNumber"/>
        <w:spacing w:after="60"/>
      </w:pPr>
      <w:r>
        <w:rPr>
          <w:b/>
        </w:rPr>
        <w:t xml:space="preserve">No standard for purpose-aware retrieval. </w:t>
      </w:r>
      <w:r>
        <w:t>Memory systems optimize relevance; regulated enterprise systems also need authorization, information barriers and purpose compatibility before retrieval.</w:t>
      </w:r>
    </w:p>
    <w:p w14:paraId="2CD5BCDD" w14:textId="77777777" w:rsidR="00DA2522" w:rsidRDefault="00000000">
      <w:pPr>
        <w:pStyle w:val="ListBullet"/>
        <w:spacing w:after="60"/>
      </w:pPr>
      <w:r>
        <w:rPr>
          <w:b/>
        </w:rPr>
        <w:t xml:space="preserve">No standard governance-metric set. </w:t>
      </w:r>
      <w:r>
        <w:t>Leakage, forgetting and freshness constructs exist in the literature (Section 15.0) but there is no accepted, comparable metric suite for governed memory, and no published metric pairs governance ratios with utility to prevent the empty-store degenerate optimum.</w:t>
      </w:r>
    </w:p>
    <w:p w14:paraId="1EBB246F" w14:textId="77777777" w:rsidR="00DA2522" w:rsidRDefault="00000000">
      <w:pPr>
        <w:pStyle w:val="ListNumber"/>
        <w:spacing w:after="60"/>
      </w:pPr>
      <w:r>
        <w:rPr>
          <w:b/>
        </w:rPr>
        <w:t xml:space="preserve">No mature policy for memory-to-skill promotion. </w:t>
      </w:r>
      <w:r>
        <w:t>Self-evolving agents can convert transient errors into persistent procedures; validation, approval, monitoring, deprecation and rollback resemble CI/CD but lack standard practice.</w:t>
      </w:r>
    </w:p>
    <w:p w14:paraId="0C716801" w14:textId="77777777" w:rsidR="00DA2522" w:rsidRDefault="00000000">
      <w:pPr>
        <w:pStyle w:val="ListNumber"/>
        <w:spacing w:after="60"/>
      </w:pPr>
      <w:r>
        <w:rPr>
          <w:b/>
        </w:rPr>
        <w:lastRenderedPageBreak/>
        <w:t xml:space="preserve">Platform criticality can change over time. </w:t>
      </w:r>
      <w:r>
        <w:t>An internal memory capability can become shared infrastructure. Governance should be able to scale with criticality, concentration and client-facing use without redesigning the entire memory substrate.</w:t>
      </w:r>
    </w:p>
    <w:p w14:paraId="75AFB23F" w14:textId="77777777" w:rsidR="00DA2522" w:rsidRDefault="00000000">
      <w:pPr>
        <w:pStyle w:val="Heading1"/>
      </w:pPr>
      <w:r>
        <w:t>18. Draft Trustworthy Agent Memory Principles</w:t>
      </w:r>
    </w:p>
    <w:p w14:paraId="70560A74" w14:textId="77777777" w:rsidR="00DA2522" w:rsidRDefault="00000000">
      <w:pPr>
        <w:spacing w:after="100" w:line="252" w:lineRule="auto"/>
      </w:pPr>
      <w:r>
        <w:t>These principles can serve as the starting point for a future RockAI best-practice standard:</w:t>
      </w:r>
    </w:p>
    <w:p w14:paraId="2FDBEFD0" w14:textId="77777777" w:rsidR="00DA2522" w:rsidRDefault="00000000">
      <w:pPr>
        <w:pStyle w:val="ListNumber"/>
        <w:spacing w:after="60"/>
      </w:pPr>
      <w:r>
        <w:rPr>
          <w:b/>
        </w:rPr>
        <w:t xml:space="preserve">Remember deliberately, not opportunistically. </w:t>
      </w:r>
      <w:r>
        <w:t>Persistence requires an approved purpose and a proportionate reason.</w:t>
      </w:r>
    </w:p>
    <w:p w14:paraId="238BD927" w14:textId="77777777" w:rsidR="00DA2522" w:rsidRDefault="00000000">
      <w:pPr>
        <w:pStyle w:val="ListNumber"/>
        <w:spacing w:after="60"/>
      </w:pPr>
      <w:r>
        <w:rPr>
          <w:b/>
        </w:rPr>
        <w:t xml:space="preserve">Treat derived memory as evidence-backed claims, not facts by default. </w:t>
      </w:r>
      <w:r>
        <w:t>Maintain source, derivation type, authority, confidence and temporal validity.</w:t>
      </w:r>
    </w:p>
    <w:p w14:paraId="471677CC" w14:textId="77777777" w:rsidR="00DA2522" w:rsidRDefault="00000000">
      <w:pPr>
        <w:pStyle w:val="ListNumber"/>
        <w:spacing w:after="60"/>
      </w:pPr>
      <w:r>
        <w:rPr>
          <w:b/>
        </w:rPr>
        <w:t xml:space="preserve">Authorize use before ranking relevance. </w:t>
      </w:r>
      <w:r>
        <w:t>A memory that is semantically relevant but impermissible for the purpose should never reach the model context.</w:t>
      </w:r>
    </w:p>
    <w:p w14:paraId="43FEA3A7" w14:textId="77777777" w:rsidR="00DA2522" w:rsidRDefault="00000000">
      <w:pPr>
        <w:pStyle w:val="ListNumber"/>
        <w:spacing w:after="60"/>
      </w:pPr>
      <w:r>
        <w:rPr>
          <w:b/>
        </w:rPr>
        <w:t xml:space="preserve">Design for correction, restriction and erasure from the first schema version. </w:t>
      </w:r>
      <w:r>
        <w:t>Rights/lifecycle controls cannot be bolted on reliably after graph/vector proliferation.</w:t>
      </w:r>
    </w:p>
    <w:p w14:paraId="1AD90FA4" w14:textId="77777777" w:rsidR="00DA2522" w:rsidRDefault="00000000">
      <w:pPr>
        <w:pStyle w:val="ListNumber"/>
        <w:spacing w:after="60"/>
      </w:pPr>
      <w:r>
        <w:rPr>
          <w:b/>
        </w:rPr>
        <w:t xml:space="preserve">Do not let recency substitute for authority. </w:t>
      </w:r>
      <w:r>
        <w:t>Conflict resolution should consider source quality, verification and scope.</w:t>
      </w:r>
    </w:p>
    <w:p w14:paraId="1439D57B" w14:textId="77777777" w:rsidR="00DA2522" w:rsidRDefault="00000000">
      <w:pPr>
        <w:pStyle w:val="ListNumber"/>
        <w:spacing w:after="60"/>
      </w:pPr>
      <w:r>
        <w:rPr>
          <w:b/>
        </w:rPr>
        <w:t xml:space="preserve">Make information barriers structural. </w:t>
      </w:r>
      <w:r>
        <w:t>Tenant, client, business-unit and MNPI restrictions should be enforced by the memory substrate/gateway, not by prompts.</w:t>
      </w:r>
    </w:p>
    <w:p w14:paraId="09BF8D6E" w14:textId="77777777" w:rsidR="00DA2522" w:rsidRDefault="00000000">
      <w:pPr>
        <w:pStyle w:val="ListNumber"/>
        <w:spacing w:after="60"/>
      </w:pPr>
      <w:r>
        <w:rPr>
          <w:b/>
        </w:rPr>
        <w:t xml:space="preserve">Treat every external model/store as a data-flow decision. </w:t>
      </w:r>
      <w:r>
        <w:t>No silent provider fallback, telemetry, rerouting or cross-region egress.</w:t>
      </w:r>
    </w:p>
    <w:p w14:paraId="14A15BDA" w14:textId="77777777" w:rsidR="00DA2522" w:rsidRDefault="00000000">
      <w:pPr>
        <w:pStyle w:val="ListNumber"/>
        <w:spacing w:after="60"/>
      </w:pPr>
      <w:r>
        <w:rPr>
          <w:b/>
        </w:rPr>
        <w:t xml:space="preserve">Assume third-party libraries are untrusted until proven conformant. </w:t>
      </w:r>
      <w:r>
        <w:t>Inspectability is not assurance; continuous supply-chain and behavior testing are required.</w:t>
      </w:r>
    </w:p>
    <w:p w14:paraId="0D4D7817" w14:textId="77777777" w:rsidR="00DA2522" w:rsidRDefault="00000000">
      <w:pPr>
        <w:pStyle w:val="ListNumber"/>
        <w:spacing w:after="60"/>
      </w:pPr>
      <w:r>
        <w:rPr>
          <w:b/>
        </w:rPr>
        <w:t xml:space="preserve">Make memory operations reconstructible. </w:t>
      </w:r>
      <w:r>
        <w:t>A reviewer should be able to explain why a memory exists, where it came from, how it changed and where it was used.</w:t>
      </w:r>
    </w:p>
    <w:p w14:paraId="7004BF2D" w14:textId="77777777" w:rsidR="00DA2522" w:rsidRDefault="00000000">
      <w:pPr>
        <w:pStyle w:val="ListNumber"/>
        <w:spacing w:after="60"/>
      </w:pPr>
      <w:r>
        <w:rPr>
          <w:b/>
        </w:rPr>
        <w:t xml:space="preserve">Separate history from active use. </w:t>
      </w:r>
      <w:r>
        <w:t>Superseded/restricted/held information may remain for legitimate reasons while being excluded from operational retrieval.</w:t>
      </w:r>
    </w:p>
    <w:p w14:paraId="012723BA" w14:textId="77777777" w:rsidR="00DA2522" w:rsidRDefault="00000000">
      <w:pPr>
        <w:pStyle w:val="ListNumber"/>
        <w:spacing w:after="60"/>
      </w:pPr>
      <w:r>
        <w:rPr>
          <w:b/>
        </w:rPr>
        <w:t xml:space="preserve">Promote experience only through validation. </w:t>
      </w:r>
      <w:r>
        <w:t>Episodic memory should not become shared knowledge, procedure or skill without evidence of correctness, transferability and policy compliance.</w:t>
      </w:r>
    </w:p>
    <w:p w14:paraId="55924C25" w14:textId="77777777" w:rsidR="00DA2522" w:rsidRDefault="00000000">
      <w:pPr>
        <w:pStyle w:val="ListNumber"/>
        <w:spacing w:after="60"/>
      </w:pPr>
      <w:r>
        <w:rPr>
          <w:b/>
        </w:rPr>
        <w:t xml:space="preserve">Measure governance outcomes. </w:t>
      </w:r>
      <w:r>
        <w:t>Trustworthy memory requires empirical tests for leakage, deletion, drift, unsupported inference, stale use and failure recovery—not only documentation.</w:t>
      </w:r>
    </w:p>
    <w:p w14:paraId="687FFC69" w14:textId="77777777" w:rsidR="00DA2522" w:rsidRDefault="00000000">
      <w:pPr>
        <w:pStyle w:val="Heading1"/>
      </w:pPr>
      <w:r>
        <w:t>19. Conclusion</w:t>
      </w:r>
    </w:p>
    <w:p w14:paraId="11032CB4" w14:textId="77777777" w:rsidR="00DA2522" w:rsidRDefault="00000000">
      <w:pPr>
        <w:spacing w:after="100" w:line="252" w:lineRule="auto"/>
      </w:pPr>
      <w:r>
        <w:t>The regulatory landscape does not yet provide a single “agent-memory regulation,” but the combined requirements are sufficiently concrete to design a durable governance architecture now. Persistent memory should be treated as a controlled data and decision subsystem with first-class provenance, purpose, authorization, lifecycle, audit, security, resilience and third-party governance. The most robust strategy is to own that governance contract at the RockAI platform layer and require every backend—internal or external—to conform.</w:t>
      </w:r>
    </w:p>
    <w:p w14:paraId="41D69FBA" w14:textId="77777777" w:rsidR="00DA2522" w:rsidRDefault="00000000">
      <w:pPr>
        <w:spacing w:after="100" w:line="252" w:lineRule="auto"/>
      </w:pPr>
      <w:r>
        <w:t>For the near-term engineering roadmap, Memoria can serve as the reference implementation because its graph-native architecture can directly encode provenance, temporal validity and policy metadata. Graphiti can be evaluated as a replaceable temporal-graph engine behind the same gateway. Future onboarding of Mem0 and Zep should not require rethinking governance if the common contract, metadata schema and conformance suite are established first.</w:t>
      </w:r>
    </w:p>
    <w:p w14:paraId="61BA6E19" w14:textId="77777777" w:rsidR="00DA2522" w:rsidRDefault="00000000">
      <w:pPr>
        <w:spacing w:after="100" w:line="252" w:lineRule="auto"/>
      </w:pPr>
      <w:r>
        <w:t>The long-term opportunity extends beyond compliance: a policy-aware memory layer can become a research differentiator. The next generation of trustworthy agent memory should optimize not only relevance and task utility, but also authority, uncertainty, permissible use, retention, information barriers, contamination risk and reversibility.</w:t>
      </w:r>
    </w:p>
    <w:p w14:paraId="481E9284" w14:textId="77777777" w:rsidR="00DA2522" w:rsidRDefault="00000000">
      <w:r>
        <w:lastRenderedPageBreak/>
        <w:br w:type="page"/>
      </w:r>
    </w:p>
    <w:p w14:paraId="57E7BF33" w14:textId="77777777" w:rsidR="00DA2522" w:rsidRDefault="00000000">
      <w:pPr>
        <w:pStyle w:val="Heading1"/>
      </w:pPr>
      <w:r>
        <w:lastRenderedPageBreak/>
        <w:t>Appendix A. Principal Sources and Status</w:t>
      </w:r>
    </w:p>
    <w:tbl>
      <w:tblPr>
        <w:tblStyle w:val="TableGrid"/>
        <w:tblW w:w="0" w:type="auto"/>
        <w:jc w:val="center"/>
        <w:tblLook w:val="04A0" w:firstRow="1" w:lastRow="0" w:firstColumn="1" w:lastColumn="0" w:noHBand="0" w:noVBand="1"/>
      </w:tblPr>
      <w:tblGrid>
        <w:gridCol w:w="602"/>
        <w:gridCol w:w="4493"/>
        <w:gridCol w:w="5057"/>
      </w:tblGrid>
      <w:tr w:rsidR="00DA2522" w14:paraId="36302100" w14:textId="77777777">
        <w:trPr>
          <w:jc w:val="center"/>
        </w:trPr>
        <w:tc>
          <w:tcPr>
            <w:tcW w:w="720" w:type="dxa"/>
            <w:shd w:val="clear" w:color="auto" w:fill="173A5E"/>
            <w:vAlign w:val="center"/>
          </w:tcPr>
          <w:p w14:paraId="709EDAEB" w14:textId="77777777" w:rsidR="00DA2522" w:rsidRDefault="00000000">
            <w:r>
              <w:rPr>
                <w:b/>
                <w:color w:val="FFFFFF"/>
                <w:sz w:val="13"/>
              </w:rPr>
              <w:t>Ref.</w:t>
            </w:r>
          </w:p>
        </w:tc>
        <w:tc>
          <w:tcPr>
            <w:tcW w:w="6552" w:type="dxa"/>
            <w:shd w:val="clear" w:color="auto" w:fill="173A5E"/>
            <w:vAlign w:val="center"/>
          </w:tcPr>
          <w:p w14:paraId="19416FF2" w14:textId="77777777" w:rsidR="00DA2522" w:rsidRDefault="00000000">
            <w:r>
              <w:rPr>
                <w:b/>
                <w:color w:val="FFFFFF"/>
                <w:sz w:val="13"/>
              </w:rPr>
              <w:t>Source / note</w:t>
            </w:r>
          </w:p>
        </w:tc>
        <w:tc>
          <w:tcPr>
            <w:tcW w:w="2880" w:type="dxa"/>
            <w:shd w:val="clear" w:color="auto" w:fill="173A5E"/>
            <w:vAlign w:val="center"/>
          </w:tcPr>
          <w:p w14:paraId="7E705314" w14:textId="77777777" w:rsidR="00DA2522" w:rsidRDefault="00000000">
            <w:r>
              <w:rPr>
                <w:b/>
                <w:color w:val="FFFFFF"/>
                <w:sz w:val="13"/>
              </w:rPr>
              <w:t>URL</w:t>
            </w:r>
          </w:p>
        </w:tc>
      </w:tr>
      <w:tr w:rsidR="00DA2522" w14:paraId="244094BB" w14:textId="77777777">
        <w:trPr>
          <w:jc w:val="center"/>
        </w:trPr>
        <w:tc>
          <w:tcPr>
            <w:tcW w:w="720" w:type="dxa"/>
            <w:vAlign w:val="center"/>
          </w:tcPr>
          <w:p w14:paraId="6F6EC4B4" w14:textId="77777777" w:rsidR="00DA2522" w:rsidRDefault="00000000">
            <w:r>
              <w:rPr>
                <w:sz w:val="13"/>
              </w:rPr>
              <w:t>R1</w:t>
            </w:r>
          </w:p>
        </w:tc>
        <w:tc>
          <w:tcPr>
            <w:tcW w:w="6552" w:type="dxa"/>
            <w:vAlign w:val="center"/>
          </w:tcPr>
          <w:p w14:paraId="077D2714" w14:textId="77777777" w:rsidR="00DA2522" w:rsidRDefault="00000000">
            <w:r>
              <w:rPr>
                <w:sz w:val="13"/>
              </w:rPr>
              <w:t>Regulation (EU) 2016/679 (GDPR), especially Arts. 5, 6, 9, 15–22, 25, 30, 32, 35, 44–49. EUR-Lex.</w:t>
            </w:r>
          </w:p>
        </w:tc>
        <w:tc>
          <w:tcPr>
            <w:tcW w:w="2880" w:type="dxa"/>
            <w:vAlign w:val="center"/>
          </w:tcPr>
          <w:p w14:paraId="6750DD24" w14:textId="77777777" w:rsidR="00DA2522" w:rsidRDefault="00000000">
            <w:r>
              <w:rPr>
                <w:sz w:val="13"/>
              </w:rPr>
              <w:t>https://eur-lex.europa.eu/eli/reg/2016/679/oj</w:t>
            </w:r>
          </w:p>
        </w:tc>
      </w:tr>
      <w:tr w:rsidR="00DA2522" w14:paraId="1802AEA8" w14:textId="77777777">
        <w:trPr>
          <w:jc w:val="center"/>
        </w:trPr>
        <w:tc>
          <w:tcPr>
            <w:tcW w:w="720" w:type="dxa"/>
            <w:shd w:val="clear" w:color="auto" w:fill="F3F6F9"/>
            <w:vAlign w:val="center"/>
          </w:tcPr>
          <w:p w14:paraId="5C969DED" w14:textId="77777777" w:rsidR="00DA2522" w:rsidRDefault="00000000">
            <w:r>
              <w:rPr>
                <w:sz w:val="13"/>
              </w:rPr>
              <w:t>R2</w:t>
            </w:r>
          </w:p>
        </w:tc>
        <w:tc>
          <w:tcPr>
            <w:tcW w:w="6552" w:type="dxa"/>
            <w:shd w:val="clear" w:color="auto" w:fill="F3F6F9"/>
            <w:vAlign w:val="center"/>
          </w:tcPr>
          <w:p w14:paraId="19357EB1" w14:textId="77777777" w:rsidR="00DA2522" w:rsidRDefault="00000000">
            <w:r>
              <w:rPr>
                <w:sz w:val="13"/>
              </w:rPr>
              <w:t>European Data Protection Board, Opinion 28/2024 on certain data-protection aspects related to processing personal data in the context of AI models (18 Dec. 2024).</w:t>
            </w:r>
          </w:p>
        </w:tc>
        <w:tc>
          <w:tcPr>
            <w:tcW w:w="2880" w:type="dxa"/>
            <w:shd w:val="clear" w:color="auto" w:fill="F3F6F9"/>
            <w:vAlign w:val="center"/>
          </w:tcPr>
          <w:p w14:paraId="344A0DDD" w14:textId="77777777" w:rsidR="00DA2522" w:rsidRDefault="00000000">
            <w:r>
              <w:rPr>
                <w:sz w:val="13"/>
              </w:rPr>
              <w:t>https://www.edpb.europa.eu/documents/opinion-of-the-board-art-64/opinion-282024-on-certain-data-protection-aspects-related-to_en</w:t>
            </w:r>
          </w:p>
        </w:tc>
      </w:tr>
      <w:tr w:rsidR="00DA2522" w14:paraId="290F06A6" w14:textId="77777777">
        <w:trPr>
          <w:jc w:val="center"/>
        </w:trPr>
        <w:tc>
          <w:tcPr>
            <w:tcW w:w="720" w:type="dxa"/>
            <w:vAlign w:val="center"/>
          </w:tcPr>
          <w:p w14:paraId="39F30E91" w14:textId="77777777" w:rsidR="00DA2522" w:rsidRDefault="00000000">
            <w:r>
              <w:rPr>
                <w:sz w:val="13"/>
              </w:rPr>
              <w:t>R3</w:t>
            </w:r>
          </w:p>
        </w:tc>
        <w:tc>
          <w:tcPr>
            <w:tcW w:w="6552" w:type="dxa"/>
            <w:vAlign w:val="center"/>
          </w:tcPr>
          <w:p w14:paraId="3C82989C" w14:textId="77777777" w:rsidR="00DA2522" w:rsidRDefault="00000000">
            <w:r>
              <w:rPr>
                <w:sz w:val="13"/>
              </w:rPr>
              <w:t>GDPR Article 17 (erasure), Article 18 (restriction), Article 19 (recipient notification), Article 20 (portability) in official consolidated text.</w:t>
            </w:r>
          </w:p>
        </w:tc>
        <w:tc>
          <w:tcPr>
            <w:tcW w:w="2880" w:type="dxa"/>
            <w:vAlign w:val="center"/>
          </w:tcPr>
          <w:p w14:paraId="79255A88" w14:textId="77777777" w:rsidR="00DA2522" w:rsidRDefault="00000000">
            <w:r>
              <w:rPr>
                <w:sz w:val="13"/>
              </w:rPr>
              <w:t>https://eur-lex.europa.eu/eli/reg/2016/679/oj</w:t>
            </w:r>
          </w:p>
        </w:tc>
      </w:tr>
      <w:tr w:rsidR="00DA2522" w14:paraId="1D558A39" w14:textId="77777777">
        <w:trPr>
          <w:jc w:val="center"/>
        </w:trPr>
        <w:tc>
          <w:tcPr>
            <w:tcW w:w="720" w:type="dxa"/>
            <w:shd w:val="clear" w:color="auto" w:fill="F3F6F9"/>
            <w:vAlign w:val="center"/>
          </w:tcPr>
          <w:p w14:paraId="407ECFB8" w14:textId="77777777" w:rsidR="00DA2522" w:rsidRDefault="00000000">
            <w:r>
              <w:rPr>
                <w:sz w:val="13"/>
              </w:rPr>
              <w:t>R4</w:t>
            </w:r>
          </w:p>
        </w:tc>
        <w:tc>
          <w:tcPr>
            <w:tcW w:w="6552" w:type="dxa"/>
            <w:shd w:val="clear" w:color="auto" w:fill="F3F6F9"/>
            <w:vAlign w:val="center"/>
          </w:tcPr>
          <w:p w14:paraId="5BF38F46" w14:textId="77777777" w:rsidR="00DA2522" w:rsidRDefault="00000000">
            <w:r>
              <w:rPr>
                <w:sz w:val="13"/>
              </w:rPr>
              <w:t>Regulation (EU) 2024/1689 (Artificial Intelligence Act), consolidated version current 27 July 2026, including Article 113 staged application.</w:t>
            </w:r>
          </w:p>
        </w:tc>
        <w:tc>
          <w:tcPr>
            <w:tcW w:w="2880" w:type="dxa"/>
            <w:shd w:val="clear" w:color="auto" w:fill="F3F6F9"/>
            <w:vAlign w:val="center"/>
          </w:tcPr>
          <w:p w14:paraId="29CC4A92" w14:textId="77777777" w:rsidR="00DA2522" w:rsidRDefault="00000000">
            <w:r>
              <w:rPr>
                <w:sz w:val="13"/>
              </w:rPr>
              <w:t>https://eur-lex.europa.eu/eli/reg/2024/1689/2026-07-27/eng</w:t>
            </w:r>
          </w:p>
        </w:tc>
      </w:tr>
      <w:tr w:rsidR="00DA2522" w14:paraId="37866E83" w14:textId="77777777">
        <w:trPr>
          <w:jc w:val="center"/>
        </w:trPr>
        <w:tc>
          <w:tcPr>
            <w:tcW w:w="720" w:type="dxa"/>
            <w:vAlign w:val="center"/>
          </w:tcPr>
          <w:p w14:paraId="75A4759C" w14:textId="77777777" w:rsidR="00DA2522" w:rsidRDefault="00000000">
            <w:r>
              <w:rPr>
                <w:sz w:val="13"/>
              </w:rPr>
              <w:t>R5</w:t>
            </w:r>
          </w:p>
        </w:tc>
        <w:tc>
          <w:tcPr>
            <w:tcW w:w="6552" w:type="dxa"/>
            <w:vAlign w:val="center"/>
          </w:tcPr>
          <w:p w14:paraId="4140D7C2" w14:textId="77777777" w:rsidR="00DA2522" w:rsidRDefault="00000000">
            <w:r>
              <w:rPr>
                <w:sz w:val="13"/>
              </w:rPr>
              <w:t>SEC, Regulation S-P: Privacy of Consumer Financial Information and Safeguarding Customer Information, final amendments (2024).</w:t>
            </w:r>
          </w:p>
        </w:tc>
        <w:tc>
          <w:tcPr>
            <w:tcW w:w="2880" w:type="dxa"/>
            <w:vAlign w:val="center"/>
          </w:tcPr>
          <w:p w14:paraId="6FA21181" w14:textId="77777777" w:rsidR="00DA2522" w:rsidRDefault="00000000">
            <w:r>
              <w:rPr>
                <w:sz w:val="13"/>
              </w:rPr>
              <w:t>https://www.sec.gov/rules-regulations/2024/06/s7-05-23</w:t>
            </w:r>
          </w:p>
        </w:tc>
      </w:tr>
      <w:tr w:rsidR="00DA2522" w14:paraId="341DC245" w14:textId="77777777">
        <w:trPr>
          <w:jc w:val="center"/>
        </w:trPr>
        <w:tc>
          <w:tcPr>
            <w:tcW w:w="720" w:type="dxa"/>
            <w:shd w:val="clear" w:color="auto" w:fill="F3F6F9"/>
            <w:vAlign w:val="center"/>
          </w:tcPr>
          <w:p w14:paraId="3B4A599A" w14:textId="77777777" w:rsidR="00DA2522" w:rsidRDefault="00000000">
            <w:r>
              <w:rPr>
                <w:sz w:val="13"/>
              </w:rPr>
              <w:t>R6</w:t>
            </w:r>
          </w:p>
        </w:tc>
        <w:tc>
          <w:tcPr>
            <w:tcW w:w="6552" w:type="dxa"/>
            <w:shd w:val="clear" w:color="auto" w:fill="F3F6F9"/>
            <w:vAlign w:val="center"/>
          </w:tcPr>
          <w:p w14:paraId="2E5C43C3" w14:textId="77777777" w:rsidR="00DA2522" w:rsidRDefault="00000000">
            <w:r>
              <w:rPr>
                <w:sz w:val="13"/>
              </w:rPr>
              <w:t>SEC Small Entity Compliance Guide / compliance timing for Regulation S-P amendments (larger entities: Dec. 3, 2025; smaller: June 3, 2026).</w:t>
            </w:r>
          </w:p>
        </w:tc>
        <w:tc>
          <w:tcPr>
            <w:tcW w:w="2880" w:type="dxa"/>
            <w:shd w:val="clear" w:color="auto" w:fill="F3F6F9"/>
            <w:vAlign w:val="center"/>
          </w:tcPr>
          <w:p w14:paraId="24A04903" w14:textId="77777777" w:rsidR="00DA2522" w:rsidRDefault="00000000">
            <w:r>
              <w:rPr>
                <w:sz w:val="13"/>
              </w:rPr>
              <w:t>https://www.sec.gov/file/regulation-s-p-small-entity-compliance-guide</w:t>
            </w:r>
          </w:p>
        </w:tc>
      </w:tr>
      <w:tr w:rsidR="00DA2522" w14:paraId="47939FE2" w14:textId="77777777">
        <w:trPr>
          <w:jc w:val="center"/>
        </w:trPr>
        <w:tc>
          <w:tcPr>
            <w:tcW w:w="720" w:type="dxa"/>
            <w:vAlign w:val="center"/>
          </w:tcPr>
          <w:p w14:paraId="74B2A429" w14:textId="77777777" w:rsidR="00DA2522" w:rsidRDefault="00000000">
            <w:r>
              <w:rPr>
                <w:sz w:val="13"/>
              </w:rPr>
              <w:t>R7</w:t>
            </w:r>
          </w:p>
        </w:tc>
        <w:tc>
          <w:tcPr>
            <w:tcW w:w="6552" w:type="dxa"/>
            <w:vAlign w:val="center"/>
          </w:tcPr>
          <w:p w14:paraId="0450A399" w14:textId="77777777" w:rsidR="00DA2522" w:rsidRDefault="00000000">
            <w:r>
              <w:rPr>
                <w:sz w:val="13"/>
              </w:rPr>
              <w:t>U.S. Treasury, Financial Services AI Risk Management Framework release (Feb. 19, 2026).</w:t>
            </w:r>
          </w:p>
        </w:tc>
        <w:tc>
          <w:tcPr>
            <w:tcW w:w="2880" w:type="dxa"/>
            <w:vAlign w:val="center"/>
          </w:tcPr>
          <w:p w14:paraId="24A0CADF" w14:textId="77777777" w:rsidR="00DA2522" w:rsidRDefault="00000000">
            <w:r>
              <w:rPr>
                <w:sz w:val="13"/>
              </w:rPr>
              <w:t>https://home.treasury.gov/news/press-releases/sb0401</w:t>
            </w:r>
          </w:p>
        </w:tc>
      </w:tr>
      <w:tr w:rsidR="00DA2522" w14:paraId="47D2FF5C" w14:textId="77777777">
        <w:trPr>
          <w:jc w:val="center"/>
        </w:trPr>
        <w:tc>
          <w:tcPr>
            <w:tcW w:w="720" w:type="dxa"/>
            <w:shd w:val="clear" w:color="auto" w:fill="F3F6F9"/>
            <w:vAlign w:val="center"/>
          </w:tcPr>
          <w:p w14:paraId="056976E6" w14:textId="77777777" w:rsidR="00DA2522" w:rsidRDefault="00000000">
            <w:r>
              <w:rPr>
                <w:sz w:val="13"/>
              </w:rPr>
              <w:t>R8</w:t>
            </w:r>
          </w:p>
        </w:tc>
        <w:tc>
          <w:tcPr>
            <w:tcW w:w="6552" w:type="dxa"/>
            <w:shd w:val="clear" w:color="auto" w:fill="F3F6F9"/>
            <w:vAlign w:val="center"/>
          </w:tcPr>
          <w:p w14:paraId="3A030835" w14:textId="77777777" w:rsidR="00DA2522" w:rsidRDefault="00000000">
            <w:r>
              <w:rPr>
                <w:sz w:val="13"/>
              </w:rPr>
              <w:t>Federal Reserve/OCC/FDIC, SR 26-2 / Revised Guidance on Model Risk Management (Apr. 17, 2026), including express exclusion of generative and agentic AI.</w:t>
            </w:r>
          </w:p>
        </w:tc>
        <w:tc>
          <w:tcPr>
            <w:tcW w:w="2880" w:type="dxa"/>
            <w:shd w:val="clear" w:color="auto" w:fill="F3F6F9"/>
            <w:vAlign w:val="center"/>
          </w:tcPr>
          <w:p w14:paraId="215EAB01" w14:textId="77777777" w:rsidR="00DA2522" w:rsidRDefault="00000000">
            <w:r>
              <w:rPr>
                <w:sz w:val="13"/>
              </w:rPr>
              <w:t>https://www.federalreserve.gov/supervisionreg/srletters/SR2602.htm</w:t>
            </w:r>
          </w:p>
        </w:tc>
      </w:tr>
      <w:tr w:rsidR="00DA2522" w14:paraId="14B92855" w14:textId="77777777">
        <w:trPr>
          <w:jc w:val="center"/>
        </w:trPr>
        <w:tc>
          <w:tcPr>
            <w:tcW w:w="720" w:type="dxa"/>
            <w:vAlign w:val="center"/>
          </w:tcPr>
          <w:p w14:paraId="049B3688" w14:textId="77777777" w:rsidR="00DA2522" w:rsidRDefault="00000000">
            <w:r>
              <w:rPr>
                <w:sz w:val="13"/>
              </w:rPr>
              <w:t>R9</w:t>
            </w:r>
          </w:p>
        </w:tc>
        <w:tc>
          <w:tcPr>
            <w:tcW w:w="6552" w:type="dxa"/>
            <w:vAlign w:val="center"/>
          </w:tcPr>
          <w:p w14:paraId="5187A52B" w14:textId="77777777" w:rsidR="00DA2522" w:rsidRDefault="00000000">
            <w:r>
              <w:rPr>
                <w:sz w:val="13"/>
              </w:rPr>
              <w:t>Graphiti GitHub Security Advisory GHSA-gg5m-55jj-8m5g / CVE-2026-32247 (Cypher injection; patched in 0.28.2).</w:t>
            </w:r>
          </w:p>
        </w:tc>
        <w:tc>
          <w:tcPr>
            <w:tcW w:w="2880" w:type="dxa"/>
            <w:vAlign w:val="center"/>
          </w:tcPr>
          <w:p w14:paraId="5BD85170" w14:textId="77777777" w:rsidR="00DA2522" w:rsidRDefault="00000000">
            <w:r>
              <w:rPr>
                <w:sz w:val="13"/>
              </w:rPr>
              <w:t>https://github.com/getzep/graphiti/security/advisories/GHSA-gg5m-55jj-8m5g</w:t>
            </w:r>
          </w:p>
        </w:tc>
      </w:tr>
      <w:tr w:rsidR="00DA2522" w14:paraId="6EFFC40C" w14:textId="77777777">
        <w:trPr>
          <w:jc w:val="center"/>
        </w:trPr>
        <w:tc>
          <w:tcPr>
            <w:tcW w:w="720" w:type="dxa"/>
            <w:shd w:val="clear" w:color="auto" w:fill="F3F6F9"/>
            <w:vAlign w:val="center"/>
          </w:tcPr>
          <w:p w14:paraId="1E4CF4E9" w14:textId="77777777" w:rsidR="00DA2522" w:rsidRDefault="00000000">
            <w:r>
              <w:rPr>
                <w:sz w:val="13"/>
              </w:rPr>
              <w:t>R10</w:t>
            </w:r>
          </w:p>
        </w:tc>
        <w:tc>
          <w:tcPr>
            <w:tcW w:w="6552" w:type="dxa"/>
            <w:shd w:val="clear" w:color="auto" w:fill="F3F6F9"/>
            <w:vAlign w:val="center"/>
          </w:tcPr>
          <w:p w14:paraId="095C52AF" w14:textId="77777777" w:rsidR="00DA2522" w:rsidRDefault="00000000">
            <w:r>
              <w:rPr>
                <w:sz w:val="13"/>
              </w:rPr>
              <w:t>Graphiti releases, including v0.28.2 security patch and later releases.</w:t>
            </w:r>
          </w:p>
        </w:tc>
        <w:tc>
          <w:tcPr>
            <w:tcW w:w="2880" w:type="dxa"/>
            <w:shd w:val="clear" w:color="auto" w:fill="F3F6F9"/>
            <w:vAlign w:val="center"/>
          </w:tcPr>
          <w:p w14:paraId="35DCB45A" w14:textId="77777777" w:rsidR="00DA2522" w:rsidRDefault="00000000">
            <w:r>
              <w:rPr>
                <w:sz w:val="13"/>
              </w:rPr>
              <w:t>https://github.com/getzep/graphiti/releases</w:t>
            </w:r>
          </w:p>
        </w:tc>
      </w:tr>
      <w:tr w:rsidR="00DA2522" w14:paraId="48D9F94C" w14:textId="77777777">
        <w:trPr>
          <w:jc w:val="center"/>
        </w:trPr>
        <w:tc>
          <w:tcPr>
            <w:tcW w:w="720" w:type="dxa"/>
            <w:vAlign w:val="center"/>
          </w:tcPr>
          <w:p w14:paraId="6510FB04" w14:textId="77777777" w:rsidR="00DA2522" w:rsidRDefault="00000000">
            <w:r>
              <w:rPr>
                <w:sz w:val="13"/>
              </w:rPr>
              <w:t>R11</w:t>
            </w:r>
          </w:p>
        </w:tc>
        <w:tc>
          <w:tcPr>
            <w:tcW w:w="6552" w:type="dxa"/>
            <w:vAlign w:val="center"/>
          </w:tcPr>
          <w:p w14:paraId="577AAFA1" w14:textId="77777777" w:rsidR="00DA2522" w:rsidRDefault="00000000">
            <w:r>
              <w:rPr>
                <w:sz w:val="13"/>
              </w:rPr>
              <w:t>Graphiti security policy / advisory channel.</w:t>
            </w:r>
          </w:p>
        </w:tc>
        <w:tc>
          <w:tcPr>
            <w:tcW w:w="2880" w:type="dxa"/>
            <w:vAlign w:val="center"/>
          </w:tcPr>
          <w:p w14:paraId="18B091E7" w14:textId="77777777" w:rsidR="00DA2522" w:rsidRDefault="00000000">
            <w:r>
              <w:rPr>
                <w:sz w:val="13"/>
              </w:rPr>
              <w:t>https://github.com/getzep/graphiti/security</w:t>
            </w:r>
          </w:p>
        </w:tc>
      </w:tr>
      <w:tr w:rsidR="00DA2522" w14:paraId="04114D03" w14:textId="77777777">
        <w:trPr>
          <w:jc w:val="center"/>
        </w:trPr>
        <w:tc>
          <w:tcPr>
            <w:tcW w:w="720" w:type="dxa"/>
            <w:shd w:val="clear" w:color="auto" w:fill="F3F6F9"/>
            <w:vAlign w:val="center"/>
          </w:tcPr>
          <w:p w14:paraId="6D3DC328" w14:textId="77777777" w:rsidR="00DA2522" w:rsidRDefault="00000000">
            <w:r>
              <w:rPr>
                <w:sz w:val="13"/>
              </w:rPr>
              <w:t>R12</w:t>
            </w:r>
          </w:p>
        </w:tc>
        <w:tc>
          <w:tcPr>
            <w:tcW w:w="6552" w:type="dxa"/>
            <w:shd w:val="clear" w:color="auto" w:fill="F3F6F9"/>
            <w:vAlign w:val="center"/>
          </w:tcPr>
          <w:p w14:paraId="7574BA9B" w14:textId="77777777" w:rsidR="00DA2522" w:rsidRDefault="00000000">
            <w:r>
              <w:rPr>
                <w:sz w:val="13"/>
              </w:rPr>
              <w:t>EU AI Act Article 12 record-keeping and Article 26 deployer obligations in consolidated text.</w:t>
            </w:r>
          </w:p>
        </w:tc>
        <w:tc>
          <w:tcPr>
            <w:tcW w:w="2880" w:type="dxa"/>
            <w:shd w:val="clear" w:color="auto" w:fill="F3F6F9"/>
            <w:vAlign w:val="center"/>
          </w:tcPr>
          <w:p w14:paraId="1A27CDDD" w14:textId="77777777" w:rsidR="00DA2522" w:rsidRDefault="00000000">
            <w:r>
              <w:rPr>
                <w:sz w:val="13"/>
              </w:rPr>
              <w:t>https://eur-lex.europa.eu/eli/reg/2024/1689/2026-07-27/eng</w:t>
            </w:r>
          </w:p>
        </w:tc>
      </w:tr>
      <w:tr w:rsidR="00DA2522" w14:paraId="304009F8" w14:textId="77777777">
        <w:trPr>
          <w:jc w:val="center"/>
        </w:trPr>
        <w:tc>
          <w:tcPr>
            <w:tcW w:w="720" w:type="dxa"/>
            <w:vAlign w:val="center"/>
          </w:tcPr>
          <w:p w14:paraId="26C428A2" w14:textId="77777777" w:rsidR="00DA2522" w:rsidRDefault="00000000">
            <w:r>
              <w:rPr>
                <w:sz w:val="13"/>
              </w:rPr>
              <w:t>R13</w:t>
            </w:r>
          </w:p>
        </w:tc>
        <w:tc>
          <w:tcPr>
            <w:tcW w:w="6552" w:type="dxa"/>
            <w:vAlign w:val="center"/>
          </w:tcPr>
          <w:p w14:paraId="4E579FB3" w14:textId="77777777" w:rsidR="00DA2522" w:rsidRDefault="00000000">
            <w:r>
              <w:rPr>
                <w:sz w:val="13"/>
              </w:rPr>
              <w:t>17 CFR §275.204-2, Books and records to be maintained by investment advisers.</w:t>
            </w:r>
          </w:p>
        </w:tc>
        <w:tc>
          <w:tcPr>
            <w:tcW w:w="2880" w:type="dxa"/>
            <w:vAlign w:val="center"/>
          </w:tcPr>
          <w:p w14:paraId="12966F7F" w14:textId="77777777" w:rsidR="00DA2522" w:rsidRDefault="00000000">
            <w:r>
              <w:rPr>
                <w:sz w:val="13"/>
              </w:rPr>
              <w:t>https://www.law.cornell.edu/cfr/text/17/275.204-2</w:t>
            </w:r>
          </w:p>
        </w:tc>
      </w:tr>
      <w:tr w:rsidR="00DA2522" w14:paraId="09AD3F00" w14:textId="77777777">
        <w:trPr>
          <w:jc w:val="center"/>
        </w:trPr>
        <w:tc>
          <w:tcPr>
            <w:tcW w:w="720" w:type="dxa"/>
            <w:shd w:val="clear" w:color="auto" w:fill="F3F6F9"/>
            <w:vAlign w:val="center"/>
          </w:tcPr>
          <w:p w14:paraId="23CB36BA" w14:textId="77777777" w:rsidR="00DA2522" w:rsidRDefault="00000000">
            <w:r>
              <w:rPr>
                <w:sz w:val="13"/>
              </w:rPr>
              <w:t>R14</w:t>
            </w:r>
          </w:p>
        </w:tc>
        <w:tc>
          <w:tcPr>
            <w:tcW w:w="6552" w:type="dxa"/>
            <w:shd w:val="clear" w:color="auto" w:fill="F3F6F9"/>
            <w:vAlign w:val="center"/>
          </w:tcPr>
          <w:p w14:paraId="45FF49EC" w14:textId="77777777" w:rsidR="00DA2522" w:rsidRDefault="00000000">
            <w:r>
              <w:rPr>
                <w:sz w:val="13"/>
              </w:rPr>
              <w:t>FDIC/Federal Reserve/OCC, Interagency Guidance on Third-Party Relationships: Risk Management (June 2023).</w:t>
            </w:r>
          </w:p>
        </w:tc>
        <w:tc>
          <w:tcPr>
            <w:tcW w:w="2880" w:type="dxa"/>
            <w:shd w:val="clear" w:color="auto" w:fill="F3F6F9"/>
            <w:vAlign w:val="center"/>
          </w:tcPr>
          <w:p w14:paraId="6DC3C018" w14:textId="77777777" w:rsidR="00DA2522" w:rsidRDefault="00000000">
            <w:r>
              <w:rPr>
                <w:sz w:val="13"/>
              </w:rPr>
              <w:t>https://www.fdic.gov/news/financial-institution-letters/2023/fil23029.html</w:t>
            </w:r>
          </w:p>
        </w:tc>
      </w:tr>
      <w:tr w:rsidR="00DA2522" w14:paraId="070A15E7" w14:textId="77777777">
        <w:trPr>
          <w:jc w:val="center"/>
        </w:trPr>
        <w:tc>
          <w:tcPr>
            <w:tcW w:w="720" w:type="dxa"/>
            <w:vAlign w:val="center"/>
          </w:tcPr>
          <w:p w14:paraId="5656943A" w14:textId="77777777" w:rsidR="00DA2522" w:rsidRDefault="00000000">
            <w:r>
              <w:rPr>
                <w:sz w:val="13"/>
              </w:rPr>
              <w:t>R15</w:t>
            </w:r>
          </w:p>
        </w:tc>
        <w:tc>
          <w:tcPr>
            <w:tcW w:w="6552" w:type="dxa"/>
            <w:vAlign w:val="center"/>
          </w:tcPr>
          <w:p w14:paraId="52815BDF" w14:textId="77777777" w:rsidR="00DA2522" w:rsidRDefault="00000000">
            <w:r>
              <w:rPr>
                <w:sz w:val="13"/>
              </w:rPr>
              <w:t>Regulation (EU) 2022/2554 (DORA), especially ICT asset/dependency mapping and Article 28 third-party risk/exit requirements.</w:t>
            </w:r>
          </w:p>
        </w:tc>
        <w:tc>
          <w:tcPr>
            <w:tcW w:w="2880" w:type="dxa"/>
            <w:vAlign w:val="center"/>
          </w:tcPr>
          <w:p w14:paraId="47AE5BF1" w14:textId="77777777" w:rsidR="00DA2522" w:rsidRDefault="00000000">
            <w:r>
              <w:rPr>
                <w:sz w:val="13"/>
              </w:rPr>
              <w:t>https://eur-lex.europa.eu/eli/reg/2022/2554/oj</w:t>
            </w:r>
          </w:p>
        </w:tc>
      </w:tr>
      <w:tr w:rsidR="00DA2522" w14:paraId="22A3E7B9" w14:textId="77777777">
        <w:trPr>
          <w:jc w:val="center"/>
        </w:trPr>
        <w:tc>
          <w:tcPr>
            <w:tcW w:w="720" w:type="dxa"/>
            <w:shd w:val="clear" w:color="auto" w:fill="F3F6F9"/>
            <w:vAlign w:val="center"/>
          </w:tcPr>
          <w:p w14:paraId="28F7013B" w14:textId="77777777" w:rsidR="00DA2522" w:rsidRDefault="00000000">
            <w:r>
              <w:rPr>
                <w:sz w:val="13"/>
              </w:rPr>
              <w:t>R16</w:t>
            </w:r>
          </w:p>
        </w:tc>
        <w:tc>
          <w:tcPr>
            <w:tcW w:w="6552" w:type="dxa"/>
            <w:shd w:val="clear" w:color="auto" w:fill="F3F6F9"/>
            <w:vAlign w:val="center"/>
          </w:tcPr>
          <w:p w14:paraId="26F704C2" w14:textId="77777777" w:rsidR="00DA2522" w:rsidRDefault="00000000">
            <w:r>
              <w:rPr>
                <w:sz w:val="13"/>
              </w:rPr>
              <w:t>European Supervisory Authorities, first designation of critical ICT third-party providers under DORA (Nov. 18, 2025).</w:t>
            </w:r>
          </w:p>
        </w:tc>
        <w:tc>
          <w:tcPr>
            <w:tcW w:w="2880" w:type="dxa"/>
            <w:shd w:val="clear" w:color="auto" w:fill="F3F6F9"/>
            <w:vAlign w:val="center"/>
          </w:tcPr>
          <w:p w14:paraId="6D7E5586" w14:textId="77777777" w:rsidR="00DA2522" w:rsidRDefault="00000000">
            <w:r>
              <w:rPr>
                <w:sz w:val="13"/>
              </w:rPr>
              <w:t>https://www.esma.europa.eu/press-news/esma-news/european-supervisory-authorities-designate-critical-ict-third-party-providers</w:t>
            </w:r>
          </w:p>
        </w:tc>
      </w:tr>
      <w:tr w:rsidR="00DA2522" w14:paraId="589EF977" w14:textId="77777777">
        <w:trPr>
          <w:jc w:val="center"/>
        </w:trPr>
        <w:tc>
          <w:tcPr>
            <w:tcW w:w="720" w:type="dxa"/>
            <w:vAlign w:val="center"/>
          </w:tcPr>
          <w:p w14:paraId="04FD6938" w14:textId="77777777" w:rsidR="00DA2522" w:rsidRDefault="00000000">
            <w:r>
              <w:rPr>
                <w:sz w:val="13"/>
              </w:rPr>
              <w:t>R17</w:t>
            </w:r>
          </w:p>
        </w:tc>
        <w:tc>
          <w:tcPr>
            <w:tcW w:w="6552" w:type="dxa"/>
            <w:vAlign w:val="center"/>
          </w:tcPr>
          <w:p w14:paraId="08BA47FD" w14:textId="77777777" w:rsidR="00DA2522" w:rsidRDefault="00000000">
            <w:r>
              <w:rPr>
                <w:sz w:val="13"/>
              </w:rPr>
              <w:t>Financial Stability Board, The Financial Stability Implications of Artificial Intelligence (Nov. 14, 2024).</w:t>
            </w:r>
          </w:p>
        </w:tc>
        <w:tc>
          <w:tcPr>
            <w:tcW w:w="2880" w:type="dxa"/>
            <w:vAlign w:val="center"/>
          </w:tcPr>
          <w:p w14:paraId="6D6862B0" w14:textId="77777777" w:rsidR="00DA2522" w:rsidRDefault="00000000">
            <w:r>
              <w:rPr>
                <w:sz w:val="13"/>
              </w:rPr>
              <w:t>https://www.fsb.org/2024/11/the-financial-stability-implications-of-artificial-intelligence/</w:t>
            </w:r>
          </w:p>
        </w:tc>
      </w:tr>
      <w:tr w:rsidR="00DA2522" w14:paraId="6B9B6FC4" w14:textId="77777777">
        <w:trPr>
          <w:jc w:val="center"/>
        </w:trPr>
        <w:tc>
          <w:tcPr>
            <w:tcW w:w="720" w:type="dxa"/>
            <w:shd w:val="clear" w:color="auto" w:fill="F3F6F9"/>
            <w:vAlign w:val="center"/>
          </w:tcPr>
          <w:p w14:paraId="65D529E9" w14:textId="77777777" w:rsidR="00DA2522" w:rsidRDefault="00000000">
            <w:r>
              <w:rPr>
                <w:sz w:val="13"/>
              </w:rPr>
              <w:t>R18</w:t>
            </w:r>
          </w:p>
        </w:tc>
        <w:tc>
          <w:tcPr>
            <w:tcW w:w="6552" w:type="dxa"/>
            <w:shd w:val="clear" w:color="auto" w:fill="F3F6F9"/>
            <w:vAlign w:val="center"/>
          </w:tcPr>
          <w:p w14:paraId="3DB5CE20" w14:textId="77777777" w:rsidR="00DA2522" w:rsidRDefault="00000000">
            <w:r>
              <w:rPr>
                <w:sz w:val="13"/>
              </w:rPr>
              <w:t>Financial Stability Board, Monitoring Adoption of Artificial Intelligence and Related Vulnerabilities in the Financial Sector (Oct. 10, 2025).</w:t>
            </w:r>
          </w:p>
        </w:tc>
        <w:tc>
          <w:tcPr>
            <w:tcW w:w="2880" w:type="dxa"/>
            <w:shd w:val="clear" w:color="auto" w:fill="F3F6F9"/>
            <w:vAlign w:val="center"/>
          </w:tcPr>
          <w:p w14:paraId="02B16C7C" w14:textId="77777777" w:rsidR="00DA2522" w:rsidRDefault="00000000">
            <w:r>
              <w:rPr>
                <w:sz w:val="13"/>
              </w:rPr>
              <w:t>https://www.fsb.org/2025/10/monitoring-adoption-of-artificial-intelligence-and-related-vulnerabilities-in-the-financial-sector/</w:t>
            </w:r>
          </w:p>
        </w:tc>
      </w:tr>
      <w:tr w:rsidR="00DA2522" w14:paraId="02C55D52" w14:textId="77777777">
        <w:trPr>
          <w:jc w:val="center"/>
        </w:trPr>
        <w:tc>
          <w:tcPr>
            <w:tcW w:w="720" w:type="dxa"/>
            <w:vAlign w:val="center"/>
          </w:tcPr>
          <w:p w14:paraId="451B9E2D" w14:textId="77777777" w:rsidR="00DA2522" w:rsidRDefault="00000000">
            <w:r>
              <w:rPr>
                <w:sz w:val="13"/>
              </w:rPr>
              <w:t>R19</w:t>
            </w:r>
          </w:p>
        </w:tc>
        <w:tc>
          <w:tcPr>
            <w:tcW w:w="6552" w:type="dxa"/>
            <w:vAlign w:val="center"/>
          </w:tcPr>
          <w:p w14:paraId="4F900B60" w14:textId="77777777" w:rsidR="00DA2522" w:rsidRDefault="00000000">
            <w:r>
              <w:rPr>
                <w:sz w:val="13"/>
              </w:rPr>
              <w:t>NIST AI Risk Management Framework / Playbook (Govern, Map, Measure, Manage).</w:t>
            </w:r>
          </w:p>
        </w:tc>
        <w:tc>
          <w:tcPr>
            <w:tcW w:w="2880" w:type="dxa"/>
            <w:vAlign w:val="center"/>
          </w:tcPr>
          <w:p w14:paraId="64113259" w14:textId="77777777" w:rsidR="00DA2522" w:rsidRDefault="00000000">
            <w:r>
              <w:rPr>
                <w:sz w:val="13"/>
              </w:rPr>
              <w:t>https://www.nist.gov/itl/ai-risk-management-framework/nist-ai-rmf-playbook</w:t>
            </w:r>
          </w:p>
        </w:tc>
      </w:tr>
      <w:tr w:rsidR="00DA2522" w14:paraId="60106E7D" w14:textId="77777777">
        <w:trPr>
          <w:jc w:val="center"/>
        </w:trPr>
        <w:tc>
          <w:tcPr>
            <w:tcW w:w="720" w:type="dxa"/>
            <w:shd w:val="clear" w:color="auto" w:fill="F3F6F9"/>
            <w:vAlign w:val="center"/>
          </w:tcPr>
          <w:p w14:paraId="6899D639" w14:textId="77777777" w:rsidR="00DA2522" w:rsidRDefault="00000000">
            <w:r>
              <w:rPr>
                <w:sz w:val="13"/>
              </w:rPr>
              <w:t>R20</w:t>
            </w:r>
          </w:p>
        </w:tc>
        <w:tc>
          <w:tcPr>
            <w:tcW w:w="6552" w:type="dxa"/>
            <w:shd w:val="clear" w:color="auto" w:fill="F3F6F9"/>
            <w:vAlign w:val="center"/>
          </w:tcPr>
          <w:p w14:paraId="70BC34D4" w14:textId="77777777" w:rsidR="00DA2522" w:rsidRDefault="00000000">
            <w:r>
              <w:rPr>
                <w:sz w:val="13"/>
              </w:rPr>
              <w:t>NIST AI 600-1, Generative Artificial Intelligence Profile (2024; updated 2026).</w:t>
            </w:r>
          </w:p>
        </w:tc>
        <w:tc>
          <w:tcPr>
            <w:tcW w:w="2880" w:type="dxa"/>
            <w:shd w:val="clear" w:color="auto" w:fill="F3F6F9"/>
            <w:vAlign w:val="center"/>
          </w:tcPr>
          <w:p w14:paraId="7F439DFA" w14:textId="77777777" w:rsidR="00DA2522" w:rsidRDefault="00000000">
            <w:r>
              <w:rPr>
                <w:sz w:val="13"/>
              </w:rPr>
              <w:t>https://www.nist.gov/publications/artificial-intelligence-risk-management-framework-generative-artificial-intelligence</w:t>
            </w:r>
          </w:p>
        </w:tc>
      </w:tr>
      <w:tr w:rsidR="00DA2522" w14:paraId="3956B174" w14:textId="77777777">
        <w:trPr>
          <w:jc w:val="center"/>
        </w:trPr>
        <w:tc>
          <w:tcPr>
            <w:tcW w:w="720" w:type="dxa"/>
            <w:vAlign w:val="center"/>
          </w:tcPr>
          <w:p w14:paraId="716B9630" w14:textId="77777777" w:rsidR="00DA2522" w:rsidRDefault="00000000">
            <w:r>
              <w:rPr>
                <w:sz w:val="13"/>
              </w:rPr>
              <w:t>R21</w:t>
            </w:r>
          </w:p>
        </w:tc>
        <w:tc>
          <w:tcPr>
            <w:tcW w:w="6552" w:type="dxa"/>
            <w:vAlign w:val="center"/>
          </w:tcPr>
          <w:p w14:paraId="476D950A" w14:textId="77777777" w:rsidR="00DA2522" w:rsidRDefault="00000000">
            <w:r>
              <w:rPr>
                <w:sz w:val="13"/>
              </w:rPr>
              <w:t>NIST secure software development profile for generative AI / acquired commercial, open-source and third-party components.</w:t>
            </w:r>
          </w:p>
        </w:tc>
        <w:tc>
          <w:tcPr>
            <w:tcW w:w="2880" w:type="dxa"/>
            <w:vAlign w:val="center"/>
          </w:tcPr>
          <w:p w14:paraId="51FB8629" w14:textId="77777777" w:rsidR="00DA2522" w:rsidRDefault="00000000">
            <w:r>
              <w:rPr>
                <w:sz w:val="13"/>
              </w:rPr>
              <w:t>https://tsapps.nist.gov/publication/get_pdf.cfm?pub_id=958391</w:t>
            </w:r>
          </w:p>
        </w:tc>
      </w:tr>
      <w:tr w:rsidR="00DA2522" w14:paraId="06ABF86F" w14:textId="77777777">
        <w:trPr>
          <w:jc w:val="center"/>
        </w:trPr>
        <w:tc>
          <w:tcPr>
            <w:tcW w:w="720" w:type="dxa"/>
            <w:shd w:val="clear" w:color="auto" w:fill="F3F6F9"/>
            <w:vAlign w:val="center"/>
          </w:tcPr>
          <w:p w14:paraId="4DE291D2" w14:textId="77777777" w:rsidR="00DA2522" w:rsidRDefault="00000000">
            <w:r>
              <w:rPr>
                <w:sz w:val="13"/>
              </w:rPr>
              <w:t>R22</w:t>
            </w:r>
          </w:p>
        </w:tc>
        <w:tc>
          <w:tcPr>
            <w:tcW w:w="6552" w:type="dxa"/>
            <w:shd w:val="clear" w:color="auto" w:fill="F3F6F9"/>
            <w:vAlign w:val="center"/>
          </w:tcPr>
          <w:p w14:paraId="08010799" w14:textId="77777777" w:rsidR="00DA2522" w:rsidRDefault="00000000">
            <w:r>
              <w:rPr>
                <w:sz w:val="13"/>
              </w:rPr>
              <w:t>ISO/IEC 42001:2023, Artificial intelligence management systems.</w:t>
            </w:r>
          </w:p>
        </w:tc>
        <w:tc>
          <w:tcPr>
            <w:tcW w:w="2880" w:type="dxa"/>
            <w:shd w:val="clear" w:color="auto" w:fill="F3F6F9"/>
            <w:vAlign w:val="center"/>
          </w:tcPr>
          <w:p w14:paraId="2A8D380C" w14:textId="77777777" w:rsidR="00DA2522" w:rsidRDefault="00000000">
            <w:r>
              <w:rPr>
                <w:sz w:val="13"/>
              </w:rPr>
              <w:t>https://www.iso.org/standard/42001</w:t>
            </w:r>
          </w:p>
        </w:tc>
      </w:tr>
      <w:tr w:rsidR="00DA2522" w14:paraId="6F8493EB" w14:textId="77777777">
        <w:trPr>
          <w:jc w:val="center"/>
        </w:trPr>
        <w:tc>
          <w:tcPr>
            <w:tcW w:w="720" w:type="dxa"/>
            <w:vAlign w:val="center"/>
          </w:tcPr>
          <w:p w14:paraId="0E666629" w14:textId="77777777" w:rsidR="00DA2522" w:rsidRDefault="00000000">
            <w:r>
              <w:rPr>
                <w:sz w:val="13"/>
              </w:rPr>
              <w:t>R23</w:t>
            </w:r>
          </w:p>
        </w:tc>
        <w:tc>
          <w:tcPr>
            <w:tcW w:w="6552" w:type="dxa"/>
            <w:vAlign w:val="center"/>
          </w:tcPr>
          <w:p w14:paraId="0969F057" w14:textId="77777777" w:rsidR="00DA2522" w:rsidRDefault="00000000">
            <w:r>
              <w:rPr>
                <w:sz w:val="13"/>
              </w:rPr>
              <w:t>Sarin et al., Memoria: A Scalable Agentic Memory Framework for Personalized Conversational AI (arXiv:2512.12686, 2025).</w:t>
            </w:r>
          </w:p>
        </w:tc>
        <w:tc>
          <w:tcPr>
            <w:tcW w:w="2880" w:type="dxa"/>
            <w:vAlign w:val="center"/>
          </w:tcPr>
          <w:p w14:paraId="4035EAFC" w14:textId="77777777" w:rsidR="00DA2522" w:rsidRDefault="00000000">
            <w:r>
              <w:rPr>
                <w:sz w:val="13"/>
              </w:rPr>
              <w:t>https://arxiv.org/abs/2512.12686</w:t>
            </w:r>
          </w:p>
        </w:tc>
      </w:tr>
      <w:tr w:rsidR="00DA2522" w14:paraId="65C0F5F4" w14:textId="77777777">
        <w:trPr>
          <w:jc w:val="center"/>
        </w:trPr>
        <w:tc>
          <w:tcPr>
            <w:tcW w:w="720" w:type="dxa"/>
            <w:shd w:val="clear" w:color="auto" w:fill="F3F6F9"/>
            <w:vAlign w:val="center"/>
          </w:tcPr>
          <w:p w14:paraId="4C2B9E6C" w14:textId="77777777" w:rsidR="00DA2522" w:rsidRDefault="00000000">
            <w:r>
              <w:rPr>
                <w:sz w:val="13"/>
              </w:rPr>
              <w:t>R24</w:t>
            </w:r>
          </w:p>
        </w:tc>
        <w:tc>
          <w:tcPr>
            <w:tcW w:w="6552" w:type="dxa"/>
            <w:shd w:val="clear" w:color="auto" w:fill="F3F6F9"/>
            <w:vAlign w:val="center"/>
          </w:tcPr>
          <w:p w14:paraId="40697F68" w14:textId="77777777" w:rsidR="00DA2522" w:rsidRDefault="00000000">
            <w:r>
              <w:rPr>
                <w:sz w:val="13"/>
              </w:rPr>
              <w:t>Graphiti MCP server public source documenting delete_entity_edge and cascading delete_episode behavior.</w:t>
            </w:r>
          </w:p>
        </w:tc>
        <w:tc>
          <w:tcPr>
            <w:tcW w:w="2880" w:type="dxa"/>
            <w:shd w:val="clear" w:color="auto" w:fill="F3F6F9"/>
            <w:vAlign w:val="center"/>
          </w:tcPr>
          <w:p w14:paraId="2A49A162" w14:textId="77777777" w:rsidR="00DA2522" w:rsidRDefault="00000000">
            <w:r>
              <w:rPr>
                <w:sz w:val="13"/>
              </w:rPr>
              <w:t>https://github.com/getzep/graphiti/blob/main/mcp_server/src/graphiti_mcp_server.py</w:t>
            </w:r>
          </w:p>
        </w:tc>
      </w:tr>
      <w:tr w:rsidR="00DA2522" w14:paraId="48E8F2C6" w14:textId="77777777">
        <w:trPr>
          <w:jc w:val="center"/>
        </w:trPr>
        <w:tc>
          <w:tcPr>
            <w:tcW w:w="720" w:type="dxa"/>
            <w:vAlign w:val="center"/>
          </w:tcPr>
          <w:p w14:paraId="36A88B2D" w14:textId="77777777" w:rsidR="00DA2522" w:rsidRDefault="00000000">
            <w:r>
              <w:rPr>
                <w:sz w:val="13"/>
              </w:rPr>
              <w:t>R25</w:t>
            </w:r>
          </w:p>
        </w:tc>
        <w:tc>
          <w:tcPr>
            <w:tcW w:w="6552" w:type="dxa"/>
            <w:vAlign w:val="center"/>
          </w:tcPr>
          <w:p w14:paraId="7AF008A6" w14:textId="77777777" w:rsidR="00DA2522" w:rsidRDefault="00000000">
            <w:r>
              <w:rPr>
                <w:sz w:val="13"/>
              </w:rPr>
              <w:t>Chakraborttii et al., Ghost Vectors: Soft-Deleted Embeddings Remain Reconstructible in HNSW Vector Databases (arXiv:2606.18497, 2026). Technical research, not regulatory authority.</w:t>
            </w:r>
          </w:p>
        </w:tc>
        <w:tc>
          <w:tcPr>
            <w:tcW w:w="2880" w:type="dxa"/>
            <w:vAlign w:val="center"/>
          </w:tcPr>
          <w:p w14:paraId="6588B732" w14:textId="77777777" w:rsidR="00DA2522" w:rsidRDefault="00000000">
            <w:r>
              <w:rPr>
                <w:sz w:val="13"/>
              </w:rPr>
              <w:t>https://arxiv.org/abs/2606.18497</w:t>
            </w:r>
          </w:p>
        </w:tc>
      </w:tr>
      <w:tr w:rsidR="00DA2522" w14:paraId="4652ADF8" w14:textId="77777777">
        <w:trPr>
          <w:jc w:val="center"/>
        </w:trPr>
        <w:tc>
          <w:tcPr>
            <w:tcW w:w="720" w:type="dxa"/>
            <w:vAlign w:val="center"/>
          </w:tcPr>
          <w:p w14:paraId="2BB66834" w14:textId="77777777" w:rsidR="00DA2522" w:rsidRDefault="00000000">
            <w:r>
              <w:rPr>
                <w:sz w:val="13"/>
              </w:rPr>
              <w:t>R26</w:t>
            </w:r>
          </w:p>
        </w:tc>
        <w:tc>
          <w:tcPr>
            <w:tcW w:w="6552" w:type="dxa"/>
            <w:vAlign w:val="center"/>
          </w:tcPr>
          <w:p w14:paraId="0FC8574E" w14:textId="77777777" w:rsidR="00DA2522" w:rsidRDefault="00000000">
            <w:r>
              <w:rPr>
                <w:sz w:val="13"/>
              </w:rPr>
              <w:t>GitHub Security Advisory / OSV, getzep/graphiti CVE-2026-90601 (improper authentication, REST API server/graph_service/main.py, affects versions through 0.30.2; published 13 Sept. 2026; fix pending as an open pull request, not yet released).</w:t>
            </w:r>
          </w:p>
        </w:tc>
        <w:tc>
          <w:tcPr>
            <w:tcW w:w="2880" w:type="dxa"/>
            <w:vAlign w:val="center"/>
          </w:tcPr>
          <w:p w14:paraId="13C9F898" w14:textId="77777777" w:rsidR="00DA2522" w:rsidRDefault="00000000">
            <w:r>
              <w:rPr>
                <w:sz w:val="13"/>
              </w:rPr>
              <w:t>https://vuldb.com/?id.403183</w:t>
            </w:r>
          </w:p>
        </w:tc>
      </w:tr>
      <w:tr w:rsidR="00DA2522" w14:paraId="0EB8CA35" w14:textId="77777777">
        <w:trPr>
          <w:jc w:val="center"/>
        </w:trPr>
        <w:tc>
          <w:tcPr>
            <w:tcW w:w="720" w:type="dxa"/>
            <w:vAlign w:val="center"/>
          </w:tcPr>
          <w:p w14:paraId="6CE8D942" w14:textId="77777777" w:rsidR="00DA2522" w:rsidRDefault="00000000">
            <w:r>
              <w:rPr>
                <w:sz w:val="13"/>
              </w:rPr>
              <w:t>R27</w:t>
            </w:r>
          </w:p>
        </w:tc>
        <w:tc>
          <w:tcPr>
            <w:tcW w:w="6552" w:type="dxa"/>
            <w:vAlign w:val="center"/>
          </w:tcPr>
          <w:p w14:paraId="3BE3B4D5" w14:textId="77777777" w:rsidR="00DA2522" w:rsidRDefault="00000000">
            <w:r>
              <w:rPr>
                <w:sz w:val="13"/>
              </w:rPr>
              <w:t>AuthMem-Bench: benchmarking "authority collapse" at the memory-consolidation boundary across seven agent-memory systems and seven LLM backbones (arXiv:2608.01679, Aug. 2026). Technical research, not regulatory authority.</w:t>
            </w:r>
          </w:p>
        </w:tc>
        <w:tc>
          <w:tcPr>
            <w:tcW w:w="2880" w:type="dxa"/>
            <w:vAlign w:val="center"/>
          </w:tcPr>
          <w:p w14:paraId="299D32F6" w14:textId="77777777" w:rsidR="00DA2522" w:rsidRDefault="00000000">
            <w:r>
              <w:rPr>
                <w:sz w:val="13"/>
              </w:rPr>
              <w:t>https://arxiv.org/abs/2608.01679</w:t>
            </w:r>
          </w:p>
        </w:tc>
      </w:tr>
      <w:tr w:rsidR="00DA2522" w14:paraId="4E1E37AF" w14:textId="77777777">
        <w:trPr>
          <w:jc w:val="center"/>
        </w:trPr>
        <w:tc>
          <w:tcPr>
            <w:tcW w:w="720" w:type="dxa"/>
            <w:vAlign w:val="center"/>
          </w:tcPr>
          <w:p w14:paraId="623207A1" w14:textId="77777777" w:rsidR="00DA2522" w:rsidRDefault="00000000">
            <w:r>
              <w:rPr>
                <w:sz w:val="13"/>
              </w:rPr>
              <w:t>R28</w:t>
            </w:r>
          </w:p>
        </w:tc>
        <w:tc>
          <w:tcPr>
            <w:tcW w:w="6552" w:type="dxa"/>
            <w:vAlign w:val="center"/>
          </w:tcPr>
          <w:p w14:paraId="345B840E" w14:textId="77777777" w:rsidR="00DA2522" w:rsidRDefault="00000000">
            <w:r>
              <w:rPr>
                <w:sz w:val="13"/>
              </w:rPr>
              <w:t>Certified graph-unlearning literature relevant to erasure assurance: GNNDelete; certified graph unlearning via range-null-space decomposition (arXiv:2508.02044); Agentic Unlearning: When LLM Agent Meets Machine Unlearning (arXiv:2602.17692). Technical research, not regulatory authority.</w:t>
            </w:r>
          </w:p>
        </w:tc>
        <w:tc>
          <w:tcPr>
            <w:tcW w:w="2880" w:type="dxa"/>
            <w:vAlign w:val="center"/>
          </w:tcPr>
          <w:p w14:paraId="35E5DB63" w14:textId="77777777" w:rsidR="00DA2522" w:rsidRDefault="00000000">
            <w:r>
              <w:rPr>
                <w:sz w:val="13"/>
              </w:rPr>
              <w:t>https://arxiv.org/abs/2602.17692</w:t>
            </w:r>
          </w:p>
        </w:tc>
      </w:tr>
      <w:tr w:rsidR="00DA2522" w14:paraId="2D5A8AE6" w14:textId="77777777">
        <w:trPr>
          <w:jc w:val="center"/>
        </w:trPr>
        <w:tc>
          <w:tcPr>
            <w:tcW w:w="720" w:type="dxa"/>
            <w:vAlign w:val="center"/>
          </w:tcPr>
          <w:p w14:paraId="784B22CA" w14:textId="77777777" w:rsidR="00DA2522" w:rsidRDefault="00000000">
            <w:r>
              <w:rPr>
                <w:sz w:val="13"/>
              </w:rPr>
              <w:t>R29</w:t>
            </w:r>
          </w:p>
        </w:tc>
        <w:tc>
          <w:tcPr>
            <w:tcW w:w="6552" w:type="dxa"/>
            <w:vAlign w:val="center"/>
          </w:tcPr>
          <w:p w14:paraId="7582A700" w14:textId="77777777" w:rsidR="00DA2522" w:rsidRDefault="00000000">
            <w:r>
              <w:rPr>
                <w:sz w:val="13"/>
              </w:rPr>
              <w:t>Memory Contagion: Cross-Temporal Propagation of Evaluator Bias via Agent Memory (arXiv:2606.23195, 2026). Technical research, not regulatory authority.</w:t>
            </w:r>
          </w:p>
        </w:tc>
        <w:tc>
          <w:tcPr>
            <w:tcW w:w="2880" w:type="dxa"/>
            <w:vAlign w:val="center"/>
          </w:tcPr>
          <w:p w14:paraId="304DA25D" w14:textId="77777777" w:rsidR="00DA2522" w:rsidRDefault="00000000">
            <w:r>
              <w:rPr>
                <w:sz w:val="13"/>
              </w:rPr>
              <w:t>https://arxiv.org/abs/2606.23195</w:t>
            </w:r>
          </w:p>
        </w:tc>
      </w:tr>
      <w:tr w:rsidR="00DA2522" w14:paraId="57D3A48E" w14:textId="77777777">
        <w:trPr>
          <w:jc w:val="center"/>
        </w:trPr>
        <w:tc>
          <w:tcPr>
            <w:tcW w:w="720" w:type="dxa"/>
            <w:vAlign w:val="center"/>
          </w:tcPr>
          <w:p w14:paraId="058F6D7A" w14:textId="77777777" w:rsidR="00DA2522" w:rsidRDefault="00000000">
            <w:r>
              <w:rPr>
                <w:sz w:val="13"/>
              </w:rPr>
              <w:t>R30</w:t>
            </w:r>
          </w:p>
        </w:tc>
        <w:tc>
          <w:tcPr>
            <w:tcW w:w="6552" w:type="dxa"/>
            <w:vAlign w:val="center"/>
          </w:tcPr>
          <w:p w14:paraId="6A67A594" w14:textId="77777777" w:rsidR="00DA2522" w:rsidRDefault="00000000">
            <w:r>
              <w:rPr>
                <w:sz w:val="13"/>
              </w:rPr>
              <w:t>W3C AI Agent Memory Interoperability Community Group, Charter v1.0 (16 Jul. 2026), referencing draft-saihm-memory-protocol; and related proposals memorywire (arXiv:2606.01138) and Portable Agent Memory (arXiv:2605.11032). Emerging, pre-adoption standards work.</w:t>
            </w:r>
          </w:p>
        </w:tc>
        <w:tc>
          <w:tcPr>
            <w:tcW w:w="2880" w:type="dxa"/>
            <w:vAlign w:val="center"/>
          </w:tcPr>
          <w:p w14:paraId="25480AD0" w14:textId="77777777" w:rsidR="00DA2522" w:rsidRDefault="00000000">
            <w:r>
              <w:rPr>
                <w:sz w:val="13"/>
              </w:rPr>
              <w:t>https://www.w3.org/community/ai-agent-memory-interop/</w:t>
            </w:r>
          </w:p>
        </w:tc>
      </w:tr>
      <w:tr w:rsidR="00DA2522" w14:paraId="48FD52A3" w14:textId="77777777">
        <w:trPr>
          <w:jc w:val="center"/>
        </w:trPr>
        <w:tc>
          <w:tcPr>
            <w:tcW w:w="720" w:type="dxa"/>
            <w:vAlign w:val="center"/>
          </w:tcPr>
          <w:p w14:paraId="6D5CB100" w14:textId="77777777" w:rsidR="00DA2522" w:rsidRDefault="00000000">
            <w:r>
              <w:rPr>
                <w:sz w:val="13"/>
              </w:rPr>
              <w:t>R31</w:t>
            </w:r>
          </w:p>
        </w:tc>
        <w:tc>
          <w:tcPr>
            <w:tcW w:w="6552" w:type="dxa"/>
            <w:vAlign w:val="center"/>
          </w:tcPr>
          <w:p w14:paraId="17FF4FE7" w14:textId="77777777" w:rsidR="00DA2522" w:rsidRDefault="00000000">
            <w:r>
              <w:rPr>
                <w:sz w:val="13"/>
              </w:rPr>
              <w:t>Mem0, "State of AI Agent Memory 2026" (blog), documenting on-device FastEmbed integration for local embedding pipelines and graph-backend additions (AWS Neptune Analytics, Cassandra, Valkey).</w:t>
            </w:r>
          </w:p>
        </w:tc>
        <w:tc>
          <w:tcPr>
            <w:tcW w:w="2880" w:type="dxa"/>
            <w:vAlign w:val="center"/>
          </w:tcPr>
          <w:p w14:paraId="38A910FC" w14:textId="77777777" w:rsidR="00DA2522" w:rsidRDefault="00000000">
            <w:r>
              <w:rPr>
                <w:sz w:val="13"/>
              </w:rPr>
              <w:t>https://mem0.ai/blog/state-of-ai-agent-memory-2026</w:t>
            </w:r>
          </w:p>
        </w:tc>
      </w:tr>
      <w:tr w:rsidR="00DA2522" w14:paraId="15D11ACC" w14:textId="77777777">
        <w:trPr>
          <w:jc w:val="center"/>
        </w:trPr>
        <w:tc>
          <w:tcPr>
            <w:tcW w:w="720" w:type="dxa"/>
            <w:vAlign w:val="center"/>
          </w:tcPr>
          <w:p w14:paraId="39580ECF" w14:textId="77777777" w:rsidR="00DA2522" w:rsidRDefault="00000000">
            <w:r>
              <w:rPr>
                <w:sz w:val="13"/>
              </w:rPr>
              <w:t>R32</w:t>
            </w:r>
          </w:p>
        </w:tc>
        <w:tc>
          <w:tcPr>
            <w:tcW w:w="6552" w:type="dxa"/>
            <w:vAlign w:val="center"/>
          </w:tcPr>
          <w:p w14:paraId="023CDBA4" w14:textId="77777777" w:rsidR="00DA2522" w:rsidRDefault="00000000">
            <w:r>
              <w:rPr>
                <w:sz w:val="13"/>
              </w:rPr>
              <w:t>MOSS: Memory-Orchestrated Semantic System, An Auditable Agentic Memory Architecture (arXiv:2607.04391, Jul. 2026). Technical research, not regulatory authority.</w:t>
            </w:r>
          </w:p>
        </w:tc>
        <w:tc>
          <w:tcPr>
            <w:tcW w:w="2880" w:type="dxa"/>
            <w:vAlign w:val="center"/>
          </w:tcPr>
          <w:p w14:paraId="73C2DE25" w14:textId="77777777" w:rsidR="00DA2522" w:rsidRDefault="00000000">
            <w:r>
              <w:rPr>
                <w:sz w:val="13"/>
              </w:rPr>
              <w:t>https://arxiv.org/abs/2607.04391</w:t>
            </w:r>
          </w:p>
        </w:tc>
      </w:tr>
      <w:tr w:rsidR="00DA2522" w14:paraId="25CE7FE9" w14:textId="77777777">
        <w:trPr>
          <w:jc w:val="center"/>
        </w:trPr>
        <w:tc>
          <w:tcPr>
            <w:tcW w:w="720" w:type="dxa"/>
            <w:vAlign w:val="center"/>
          </w:tcPr>
          <w:p w14:paraId="11FDB6FD" w14:textId="77777777" w:rsidR="00DA2522" w:rsidRDefault="00000000">
            <w:r>
              <w:rPr>
                <w:sz w:val="13"/>
              </w:rPr>
              <w:t>R33</w:t>
            </w:r>
          </w:p>
        </w:tc>
        <w:tc>
          <w:tcPr>
            <w:tcW w:w="6552" w:type="dxa"/>
            <w:vAlign w:val="center"/>
          </w:tcPr>
          <w:p w14:paraId="4D61C833" w14:textId="77777777" w:rsidR="00DA2522" w:rsidRDefault="00000000">
            <w:r>
              <w:rPr>
                <w:sz w:val="13"/>
              </w:rPr>
              <w:t>Regulation (EU) 2026/1744 (Digital Omnibus on AI), amending Regulation (EU) 2024/1689; published in the Official Journal 24 Jul. 2026, in force 27 Jul. 2026.</w:t>
            </w:r>
          </w:p>
        </w:tc>
        <w:tc>
          <w:tcPr>
            <w:tcW w:w="2880" w:type="dxa"/>
            <w:vAlign w:val="center"/>
          </w:tcPr>
          <w:p w14:paraId="3B4A2086" w14:textId="77777777" w:rsidR="00DA2522" w:rsidRDefault="00000000">
            <w:r>
              <w:rPr>
                <w:sz w:val="13"/>
              </w:rPr>
              <w:t>https://eur-lex.europa.eu/eli/reg/2026/1744/oj</w:t>
            </w:r>
          </w:p>
        </w:tc>
      </w:tr>
      <w:tr w:rsidR="00DA2522" w14:paraId="17EA1F67" w14:textId="77777777">
        <w:trPr>
          <w:jc w:val="center"/>
        </w:trPr>
        <w:tc>
          <w:tcPr>
            <w:tcW w:w="720" w:type="dxa"/>
            <w:vAlign w:val="center"/>
          </w:tcPr>
          <w:p w14:paraId="7E0DCF34" w14:textId="77777777" w:rsidR="00DA2522" w:rsidRDefault="00000000">
            <w:r>
              <w:rPr>
                <w:sz w:val="13"/>
              </w:rPr>
              <w:t>R34</w:t>
            </w:r>
          </w:p>
        </w:tc>
        <w:tc>
          <w:tcPr>
            <w:tcW w:w="6552" w:type="dxa"/>
            <w:vAlign w:val="center"/>
          </w:tcPr>
          <w:p w14:paraId="72D2FB9E" w14:textId="77777777" w:rsidR="00DA2522" w:rsidRDefault="00000000">
            <w:r>
              <w:rPr>
                <w:sz w:val="13"/>
              </w:rPr>
              <w:t xml:space="preserve">BlackRock, Inc., Form ARS (Annual Report to Shareholders), FY2024 and </w:t>
            </w:r>
            <w:r>
              <w:rPr>
                <w:sz w:val="13"/>
              </w:rPr>
              <w:lastRenderedPageBreak/>
              <w:t>FY2025, risk-factor disclosures regarding Aladdin platform scale, resilience and regulatory scrutiny.</w:t>
            </w:r>
          </w:p>
        </w:tc>
        <w:tc>
          <w:tcPr>
            <w:tcW w:w="2880" w:type="dxa"/>
            <w:vAlign w:val="center"/>
          </w:tcPr>
          <w:p w14:paraId="230BD4A9" w14:textId="77777777" w:rsidR="00DA2522" w:rsidRDefault="00000000">
            <w:r>
              <w:rPr>
                <w:sz w:val="13"/>
              </w:rPr>
              <w:lastRenderedPageBreak/>
              <w:t>https://www.sec.gov/Archives/edgar/data/2012383/</w:t>
            </w:r>
          </w:p>
        </w:tc>
      </w:tr>
      <w:tr w:rsidR="00DA2522" w14:paraId="1C4D6ADD" w14:textId="77777777">
        <w:trPr>
          <w:jc w:val="center"/>
        </w:trPr>
        <w:tc>
          <w:tcPr>
            <w:tcW w:w="720" w:type="dxa"/>
            <w:vAlign w:val="center"/>
          </w:tcPr>
          <w:p w14:paraId="0BC37B40" w14:textId="77777777" w:rsidR="00DA2522" w:rsidRDefault="00000000">
            <w:r>
              <w:rPr>
                <w:sz w:val="13"/>
              </w:rPr>
              <w:t>R35</w:t>
            </w:r>
          </w:p>
        </w:tc>
        <w:tc>
          <w:tcPr>
            <w:tcW w:w="6552" w:type="dxa"/>
            <w:vAlign w:val="center"/>
          </w:tcPr>
          <w:p w14:paraId="655C0F01" w14:textId="77777777" w:rsidR="00DA2522" w:rsidRDefault="00000000">
            <w:r>
              <w:rPr>
                <w:sz w:val="13"/>
              </w:rPr>
              <w:t>Financial Times / Finadium, reporting the UK FCA's January 2021 statement that failure of "a large portfolio and risk system, like Aladdin" could cause serious consumer harm or damage market integrity.</w:t>
            </w:r>
          </w:p>
        </w:tc>
        <w:tc>
          <w:tcPr>
            <w:tcW w:w="2880" w:type="dxa"/>
            <w:vAlign w:val="center"/>
          </w:tcPr>
          <w:p w14:paraId="17B88184" w14:textId="77777777" w:rsidR="00DA2522" w:rsidRDefault="00000000">
            <w:r>
              <w:rPr>
                <w:sz w:val="13"/>
              </w:rPr>
              <w:t>https://finadium.com/ft-blackrocks-aladdin-under-scrutiny-for-crowding-risk-as-assets-pass-20tr/</w:t>
            </w:r>
          </w:p>
        </w:tc>
      </w:tr>
      <w:tr w:rsidR="00DA2522" w14:paraId="4D5CB746" w14:textId="77777777">
        <w:trPr>
          <w:jc w:val="center"/>
        </w:trPr>
        <w:tc>
          <w:tcPr>
            <w:tcW w:w="720" w:type="dxa"/>
            <w:vAlign w:val="center"/>
          </w:tcPr>
          <w:p w14:paraId="610965D1" w14:textId="77777777" w:rsidR="00DA2522" w:rsidRDefault="00000000">
            <w:r>
              <w:rPr>
                <w:sz w:val="13"/>
              </w:rPr>
              <w:t>R36</w:t>
            </w:r>
          </w:p>
        </w:tc>
        <w:tc>
          <w:tcPr>
            <w:tcW w:w="6552" w:type="dxa"/>
            <w:vAlign w:val="center"/>
          </w:tcPr>
          <w:p w14:paraId="4093F258" w14:textId="77777777" w:rsidR="00DA2522" w:rsidRDefault="00000000">
            <w:r>
              <w:rPr>
                <w:sz w:val="13"/>
              </w:rPr>
              <w:t>CEN/CENELEC JTC 21, prEN 18229-1 AI trustworthiness framework — Part 1: Logging (vote closed 20 Aug. 2026); prEN 18229-3 (human oversight) enquiry to 22 Sept. 2026; prEN 18282 (cybersecurity), working draft. Draft harmonised standards; presumption of conformity only on publication and OJEU citation.</w:t>
            </w:r>
          </w:p>
        </w:tc>
        <w:tc>
          <w:tcPr>
            <w:tcW w:w="2880" w:type="dxa"/>
            <w:vAlign w:val="center"/>
          </w:tcPr>
          <w:p w14:paraId="06C4F7A2" w14:textId="77777777" w:rsidR="00DA2522" w:rsidRDefault="00000000">
            <w:r>
              <w:rPr>
                <w:sz w:val="13"/>
              </w:rPr>
              <w:t>https://genorma.com/en/standards/pren-18229-1</w:t>
            </w:r>
          </w:p>
        </w:tc>
      </w:tr>
      <w:tr w:rsidR="00DA2522" w14:paraId="76D1E3BD" w14:textId="77777777">
        <w:trPr>
          <w:jc w:val="center"/>
        </w:trPr>
        <w:tc>
          <w:tcPr>
            <w:tcW w:w="720" w:type="dxa"/>
            <w:vAlign w:val="center"/>
          </w:tcPr>
          <w:p w14:paraId="78EFE5D2" w14:textId="77777777" w:rsidR="00DA2522" w:rsidRDefault="00000000">
            <w:r>
              <w:rPr>
                <w:sz w:val="13"/>
              </w:rPr>
              <w:t>R37</w:t>
            </w:r>
          </w:p>
        </w:tc>
        <w:tc>
          <w:tcPr>
            <w:tcW w:w="6552" w:type="dxa"/>
            <w:vAlign w:val="center"/>
          </w:tcPr>
          <w:p w14:paraId="2650B0FC" w14:textId="77777777" w:rsidR="00DA2522" w:rsidRDefault="00000000">
            <w:r>
              <w:rPr>
                <w:sz w:val="13"/>
              </w:rPr>
              <w:t>California Privacy Protection Agency, CCPA regulations on automated decisionmaking technology, risk assessments and cybersecurity audits (approved by OAL 23 Sept. 2025; effective 1 Jan. 2026).</w:t>
            </w:r>
          </w:p>
        </w:tc>
        <w:tc>
          <w:tcPr>
            <w:tcW w:w="2880" w:type="dxa"/>
            <w:vAlign w:val="center"/>
          </w:tcPr>
          <w:p w14:paraId="00A28B98" w14:textId="77777777" w:rsidR="00DA2522" w:rsidRDefault="00000000">
            <w:r>
              <w:rPr>
                <w:sz w:val="13"/>
              </w:rPr>
              <w:t>https://cppa.ca.gov/regulations/ccpa_updates.html</w:t>
            </w:r>
          </w:p>
        </w:tc>
      </w:tr>
      <w:tr w:rsidR="00DA2522" w14:paraId="2E79710C" w14:textId="77777777">
        <w:trPr>
          <w:jc w:val="center"/>
        </w:trPr>
        <w:tc>
          <w:tcPr>
            <w:tcW w:w="720" w:type="dxa"/>
            <w:vAlign w:val="center"/>
          </w:tcPr>
          <w:p w14:paraId="6D1AB93A" w14:textId="77777777" w:rsidR="00DA2522" w:rsidRDefault="00000000">
            <w:r>
              <w:rPr>
                <w:sz w:val="13"/>
              </w:rPr>
              <w:t>R38</w:t>
            </w:r>
          </w:p>
        </w:tc>
        <w:tc>
          <w:tcPr>
            <w:tcW w:w="6552" w:type="dxa"/>
            <w:vAlign w:val="center"/>
          </w:tcPr>
          <w:p w14:paraId="3540DD22" w14:textId="77777777" w:rsidR="00DA2522" w:rsidRDefault="00000000">
            <w:r>
              <w:rPr>
                <w:sz w:val="13"/>
              </w:rPr>
              <w:t>Colorado SB 26-189, Automated Decision-Making Technology Act (signed 14 May 2026, effective 1 Jan. 2027), repealing SB 24-205; D. Colo. enforcement stay of 27 Apr. 2026 (xAI v. Colorado; U.S. DOJ intervening).</w:t>
            </w:r>
          </w:p>
        </w:tc>
        <w:tc>
          <w:tcPr>
            <w:tcW w:w="2880" w:type="dxa"/>
            <w:vAlign w:val="center"/>
          </w:tcPr>
          <w:p w14:paraId="14702CF5" w14:textId="77777777" w:rsidR="00DA2522" w:rsidRDefault="00000000">
            <w:r>
              <w:rPr>
                <w:sz w:val="13"/>
              </w:rPr>
              <w:t>https://leg.colorado.gov/bills/sb26-189</w:t>
            </w:r>
          </w:p>
        </w:tc>
      </w:tr>
      <w:tr w:rsidR="00DA2522" w14:paraId="25231525" w14:textId="77777777">
        <w:trPr>
          <w:jc w:val="center"/>
        </w:trPr>
        <w:tc>
          <w:tcPr>
            <w:tcW w:w="720" w:type="dxa"/>
            <w:vAlign w:val="center"/>
          </w:tcPr>
          <w:p w14:paraId="03F29C20" w14:textId="77777777" w:rsidR="00DA2522" w:rsidRDefault="00000000">
            <w:r>
              <w:rPr>
                <w:sz w:val="13"/>
              </w:rPr>
              <w:t>R39</w:t>
            </w:r>
          </w:p>
        </w:tc>
        <w:tc>
          <w:tcPr>
            <w:tcW w:w="6552" w:type="dxa"/>
            <w:vAlign w:val="center"/>
          </w:tcPr>
          <w:p w14:paraId="0D5C2509" w14:textId="77777777" w:rsidR="00DA2522" w:rsidRDefault="00000000">
            <w:r>
              <w:rPr>
                <w:sz w:val="13"/>
              </w:rPr>
              <w:t>AEPD (Spain), Guidance on privacy aspects of agentic AI (18 Feb. 2026); Autoriteit Persoonsgegevens (Netherlands), consultation on the right to explanation of automated decisions (Apr. 2026). Supervisory guidance.</w:t>
            </w:r>
          </w:p>
        </w:tc>
        <w:tc>
          <w:tcPr>
            <w:tcW w:w="2880" w:type="dxa"/>
            <w:vAlign w:val="center"/>
          </w:tcPr>
          <w:p w14:paraId="23058098" w14:textId="77777777" w:rsidR="00DA2522" w:rsidRDefault="00000000">
            <w:r>
              <w:rPr>
                <w:sz w:val="13"/>
              </w:rPr>
              <w:t>https://www.aepd.es/</w:t>
            </w:r>
          </w:p>
        </w:tc>
      </w:tr>
      <w:tr w:rsidR="00DA2522" w14:paraId="07C99147" w14:textId="77777777">
        <w:trPr>
          <w:jc w:val="center"/>
        </w:trPr>
        <w:tc>
          <w:tcPr>
            <w:tcW w:w="720" w:type="dxa"/>
            <w:vAlign w:val="center"/>
          </w:tcPr>
          <w:p w14:paraId="4DEF02AF" w14:textId="77777777" w:rsidR="00DA2522" w:rsidRDefault="00000000">
            <w:r>
              <w:rPr>
                <w:sz w:val="13"/>
              </w:rPr>
              <w:t>R40</w:t>
            </w:r>
          </w:p>
        </w:tc>
        <w:tc>
          <w:tcPr>
            <w:tcW w:w="6552" w:type="dxa"/>
            <w:vAlign w:val="center"/>
          </w:tcPr>
          <w:p w14:paraId="6546D009" w14:textId="77777777" w:rsidR="00DA2522" w:rsidRDefault="00000000">
            <w:r>
              <w:rPr>
                <w:sz w:val="13"/>
              </w:rPr>
              <w:t>EDPB, Guidelines 02/2026 on anonymisation (draft; public consultation to 30 Oct. 2026). Supervisory guidance in draft.</w:t>
            </w:r>
          </w:p>
        </w:tc>
        <w:tc>
          <w:tcPr>
            <w:tcW w:w="2880" w:type="dxa"/>
            <w:vAlign w:val="center"/>
          </w:tcPr>
          <w:p w14:paraId="68A7C8A7" w14:textId="77777777" w:rsidR="00DA2522" w:rsidRDefault="00000000">
            <w:r>
              <w:rPr>
                <w:sz w:val="13"/>
              </w:rPr>
              <w:t>https://www.edpb.europa.eu/</w:t>
            </w:r>
          </w:p>
        </w:tc>
      </w:tr>
      <w:tr w:rsidR="00DA2522" w14:paraId="1A8B7D01" w14:textId="77777777">
        <w:trPr>
          <w:jc w:val="center"/>
        </w:trPr>
        <w:tc>
          <w:tcPr>
            <w:tcW w:w="720" w:type="dxa"/>
            <w:vAlign w:val="center"/>
          </w:tcPr>
          <w:p w14:paraId="5AD705C4" w14:textId="77777777" w:rsidR="00DA2522" w:rsidRDefault="00000000">
            <w:r>
              <w:rPr>
                <w:sz w:val="13"/>
              </w:rPr>
              <w:t>R41</w:t>
            </w:r>
          </w:p>
        </w:tc>
        <w:tc>
          <w:tcPr>
            <w:tcW w:w="6552" w:type="dxa"/>
            <w:vAlign w:val="center"/>
          </w:tcPr>
          <w:p w14:paraId="06051A28" w14:textId="77777777" w:rsidR="00DA2522" w:rsidRDefault="00000000">
            <w:r>
              <w:rPr>
                <w:sz w:val="13"/>
              </w:rPr>
              <w:t>EDPB–EDPS Joint Opinion 1/2026 on the Proposal for a Regulation amending the AI Act (Digital Omnibus on AI), 20 Jan. 2026.</w:t>
            </w:r>
          </w:p>
        </w:tc>
        <w:tc>
          <w:tcPr>
            <w:tcW w:w="2880" w:type="dxa"/>
            <w:vAlign w:val="center"/>
          </w:tcPr>
          <w:p w14:paraId="0CC91DDE" w14:textId="77777777" w:rsidR="00DA2522" w:rsidRDefault="00000000">
            <w:r>
              <w:rPr>
                <w:sz w:val="13"/>
              </w:rPr>
              <w:t>https://www.edpb.europa.eu/system/files/2026-01/edpb_edps_jointopinion_202601_proposal_ai-omnibus_en.pdf</w:t>
            </w:r>
          </w:p>
        </w:tc>
      </w:tr>
      <w:tr w:rsidR="00DA2522" w14:paraId="349E549B" w14:textId="77777777">
        <w:trPr>
          <w:jc w:val="center"/>
        </w:trPr>
        <w:tc>
          <w:tcPr>
            <w:tcW w:w="720" w:type="dxa"/>
            <w:vAlign w:val="center"/>
          </w:tcPr>
          <w:p w14:paraId="74476168" w14:textId="77777777" w:rsidR="00DA2522" w:rsidRDefault="00000000">
            <w:r>
              <w:rPr>
                <w:sz w:val="13"/>
              </w:rPr>
              <w:t>R42</w:t>
            </w:r>
          </w:p>
        </w:tc>
        <w:tc>
          <w:tcPr>
            <w:tcW w:w="6552" w:type="dxa"/>
            <w:vAlign w:val="center"/>
          </w:tcPr>
          <w:p w14:paraId="7170CF02" w14:textId="77777777" w:rsidR="00DA2522" w:rsidRDefault="00000000">
            <w:r>
              <w:rPr>
                <w:sz w:val="13"/>
              </w:rPr>
              <w:t>ICO and FCA, Joint statement on financial firms' approaches to vulnerability-related data (27 Mar. 2026); CMA policy paper and guidance on agentic AI and consumer law (2026); House of Commons Treasury Committee, Artificial intelligence in financial services (20 Jan. 2026).</w:t>
            </w:r>
          </w:p>
        </w:tc>
        <w:tc>
          <w:tcPr>
            <w:tcW w:w="2880" w:type="dxa"/>
            <w:vAlign w:val="center"/>
          </w:tcPr>
          <w:p w14:paraId="0FC28614" w14:textId="77777777" w:rsidR="00DA2522" w:rsidRDefault="00000000">
            <w:r>
              <w:rPr>
                <w:sz w:val="13"/>
              </w:rPr>
              <w:t>https://www.fca.org.uk/</w:t>
            </w:r>
          </w:p>
        </w:tc>
      </w:tr>
      <w:tr w:rsidR="00DA2522" w14:paraId="63857209" w14:textId="77777777">
        <w:trPr>
          <w:jc w:val="center"/>
        </w:trPr>
        <w:tc>
          <w:tcPr>
            <w:tcW w:w="720" w:type="dxa"/>
            <w:vAlign w:val="center"/>
          </w:tcPr>
          <w:p w14:paraId="39207FA6" w14:textId="77777777" w:rsidR="00DA2522" w:rsidRDefault="00000000">
            <w:r>
              <w:rPr>
                <w:sz w:val="13"/>
              </w:rPr>
              <w:t>R43</w:t>
            </w:r>
          </w:p>
        </w:tc>
        <w:tc>
          <w:tcPr>
            <w:tcW w:w="6552" w:type="dxa"/>
            <w:vAlign w:val="center"/>
          </w:tcPr>
          <w:p w14:paraId="2ECDC5C4" w14:textId="77777777" w:rsidR="00DA2522" w:rsidRDefault="00000000">
            <w:r>
              <w:rPr>
                <w:sz w:val="13"/>
              </w:rPr>
              <w:t>ENISA, threat landscape / taxonomy for autonomous AI agents (identity spoofing, privilege escalation, data poisoning through memory), as referenced in CEN-CENELEC JTC 21 cybersecurity scoping (prEN 18282).</w:t>
            </w:r>
          </w:p>
        </w:tc>
        <w:tc>
          <w:tcPr>
            <w:tcW w:w="2880" w:type="dxa"/>
            <w:vAlign w:val="center"/>
          </w:tcPr>
          <w:p w14:paraId="2728CE77" w14:textId="77777777" w:rsidR="00DA2522" w:rsidRDefault="00000000">
            <w:r>
              <w:rPr>
                <w:sz w:val="13"/>
              </w:rPr>
              <w:t>https://www.enisa.europa.eu/</w:t>
            </w:r>
          </w:p>
        </w:tc>
      </w:tr>
      <w:tr w:rsidR="00DA2522" w14:paraId="608A80AB" w14:textId="77777777">
        <w:trPr>
          <w:jc w:val="center"/>
        </w:trPr>
        <w:tc>
          <w:tcPr>
            <w:tcW w:w="720" w:type="dxa"/>
            <w:vAlign w:val="center"/>
          </w:tcPr>
          <w:p w14:paraId="1174B610" w14:textId="77777777" w:rsidR="00DA2522" w:rsidRDefault="00000000">
            <w:r>
              <w:rPr>
                <w:sz w:val="13"/>
              </w:rPr>
              <w:t>R44</w:t>
            </w:r>
          </w:p>
        </w:tc>
        <w:tc>
          <w:tcPr>
            <w:tcW w:w="6552" w:type="dxa"/>
            <w:vAlign w:val="center"/>
          </w:tcPr>
          <w:p w14:paraId="457941C7" w14:textId="77777777" w:rsidR="00DA2522" w:rsidRDefault="00000000">
            <w:r>
              <w:rPr>
                <w:sz w:val="13"/>
              </w:rPr>
              <w:t>Hong Kong SFC, Circular on the use of generative AI language models (12 Nov. 2024); SFC Circular on AI-enabled cyber risks (2 June 2026); HKMA Circular on consumer-protection aspects of generative AI (19 Aug. 2024). Binding/supervisory for licensed corporations and authorised institutions.</w:t>
            </w:r>
          </w:p>
        </w:tc>
        <w:tc>
          <w:tcPr>
            <w:tcW w:w="2880" w:type="dxa"/>
            <w:vAlign w:val="center"/>
          </w:tcPr>
          <w:p w14:paraId="57DD5173" w14:textId="77777777" w:rsidR="00DA2522" w:rsidRDefault="00000000">
            <w:r>
              <w:rPr>
                <w:sz w:val="13"/>
              </w:rPr>
              <w:t>https://www.sfc.hk/</w:t>
            </w:r>
          </w:p>
        </w:tc>
      </w:tr>
      <w:tr w:rsidR="00DA2522" w14:paraId="7260A418" w14:textId="77777777">
        <w:trPr>
          <w:jc w:val="center"/>
        </w:trPr>
        <w:tc>
          <w:tcPr>
            <w:tcW w:w="720" w:type="dxa"/>
            <w:vAlign w:val="center"/>
          </w:tcPr>
          <w:p w14:paraId="3C76FC6F" w14:textId="77777777" w:rsidR="00DA2522" w:rsidRDefault="00000000">
            <w:r>
              <w:rPr>
                <w:sz w:val="13"/>
              </w:rPr>
              <w:t>R45</w:t>
            </w:r>
          </w:p>
        </w:tc>
        <w:tc>
          <w:tcPr>
            <w:tcW w:w="6552" w:type="dxa"/>
            <w:vAlign w:val="center"/>
          </w:tcPr>
          <w:p w14:paraId="3BBEFFC6" w14:textId="77777777" w:rsidR="00DA2522" w:rsidRDefault="00000000">
            <w:r>
              <w:rPr>
                <w:sz w:val="13"/>
              </w:rPr>
              <w:t>IMDA (Singapore), Model AI Governance Framework for Agentic AI (Jan. 2026); MAS, Project MindForge AI Risk Management Operationalisation Handbook and case studies (Mar. 2026). Policy guidance.</w:t>
            </w:r>
          </w:p>
        </w:tc>
        <w:tc>
          <w:tcPr>
            <w:tcW w:w="2880" w:type="dxa"/>
            <w:vAlign w:val="center"/>
          </w:tcPr>
          <w:p w14:paraId="2967136A" w14:textId="77777777" w:rsidR="00DA2522" w:rsidRDefault="00000000">
            <w:r>
              <w:rPr>
                <w:sz w:val="13"/>
              </w:rPr>
              <w:t>https://www.mas.gov.sg/</w:t>
            </w:r>
          </w:p>
        </w:tc>
      </w:tr>
      <w:tr w:rsidR="00DA2522" w14:paraId="14DAEE84" w14:textId="77777777">
        <w:trPr>
          <w:jc w:val="center"/>
        </w:trPr>
        <w:tc>
          <w:tcPr>
            <w:tcW w:w="720" w:type="dxa"/>
            <w:vAlign w:val="center"/>
          </w:tcPr>
          <w:p w14:paraId="00841DB7" w14:textId="77777777" w:rsidR="00DA2522" w:rsidRDefault="00000000">
            <w:r>
              <w:rPr>
                <w:sz w:val="13"/>
              </w:rPr>
              <w:t>R46</w:t>
            </w:r>
          </w:p>
        </w:tc>
        <w:tc>
          <w:tcPr>
            <w:tcW w:w="6552" w:type="dxa"/>
            <w:vAlign w:val="center"/>
          </w:tcPr>
          <w:p w14:paraId="6774A5A8" w14:textId="77777777" w:rsidR="00DA2522" w:rsidRDefault="00000000">
            <w:r>
              <w:rPr>
                <w:sz w:val="13"/>
              </w:rPr>
              <w:t>MemLeak: Diagnosing Information Leaks in Multimodal Agent Memory (arXiv:2606.29788, 2026) — defines Cross-Modal Leakage Rate with LLM-judge-ensemble and human validation. Technical research.</w:t>
            </w:r>
          </w:p>
        </w:tc>
        <w:tc>
          <w:tcPr>
            <w:tcW w:w="2880" w:type="dxa"/>
            <w:vAlign w:val="center"/>
          </w:tcPr>
          <w:p w14:paraId="0104165F" w14:textId="77777777" w:rsidR="00DA2522" w:rsidRDefault="00000000">
            <w:r>
              <w:rPr>
                <w:sz w:val="13"/>
              </w:rPr>
              <w:t>https://arxiv.org/abs/2606.29788</w:t>
            </w:r>
          </w:p>
        </w:tc>
      </w:tr>
      <w:tr w:rsidR="00DA2522" w14:paraId="008FC717" w14:textId="77777777">
        <w:trPr>
          <w:jc w:val="center"/>
        </w:trPr>
        <w:tc>
          <w:tcPr>
            <w:tcW w:w="720" w:type="dxa"/>
            <w:vAlign w:val="center"/>
          </w:tcPr>
          <w:p w14:paraId="2DFCF3AE" w14:textId="77777777" w:rsidR="00DA2522" w:rsidRDefault="00000000">
            <w:r>
              <w:rPr>
                <w:sz w:val="13"/>
              </w:rPr>
              <w:t>R47</w:t>
            </w:r>
          </w:p>
        </w:tc>
        <w:tc>
          <w:tcPr>
            <w:tcW w:w="6552" w:type="dxa"/>
            <w:vAlign w:val="center"/>
          </w:tcPr>
          <w:p w14:paraId="5C1D2241" w14:textId="77777777" w:rsidR="00DA2522" w:rsidRDefault="00000000">
            <w:r>
              <w:rPr>
                <w:sz w:val="13"/>
              </w:rPr>
              <w:t>Control-Plane Placement Shapes Forgetting: An Architectural Study of Agent Memory Across Thirteen System Configurations (FORGETEVAL-Adv; arXiv:2606.15903, 2026). Technical research.</w:t>
            </w:r>
          </w:p>
        </w:tc>
        <w:tc>
          <w:tcPr>
            <w:tcW w:w="2880" w:type="dxa"/>
            <w:vAlign w:val="center"/>
          </w:tcPr>
          <w:p w14:paraId="64B7F71C" w14:textId="77777777" w:rsidR="00DA2522" w:rsidRDefault="00000000">
            <w:r>
              <w:rPr>
                <w:sz w:val="13"/>
              </w:rPr>
              <w:t>https://arxiv.org/abs/2606.15903</w:t>
            </w:r>
          </w:p>
        </w:tc>
      </w:tr>
      <w:tr w:rsidR="00DA2522" w14:paraId="210210B4" w14:textId="77777777">
        <w:trPr>
          <w:jc w:val="center"/>
        </w:trPr>
        <w:tc>
          <w:tcPr>
            <w:tcW w:w="720" w:type="dxa"/>
            <w:vAlign w:val="center"/>
          </w:tcPr>
          <w:p w14:paraId="26D56FA2" w14:textId="77777777" w:rsidR="00DA2522" w:rsidRDefault="00000000">
            <w:r>
              <w:rPr>
                <w:sz w:val="13"/>
              </w:rPr>
              <w:t>R48</w:t>
            </w:r>
          </w:p>
        </w:tc>
        <w:tc>
          <w:tcPr>
            <w:tcW w:w="6552" w:type="dxa"/>
            <w:vAlign w:val="center"/>
          </w:tcPr>
          <w:p w14:paraId="65286F1F" w14:textId="77777777" w:rsidR="00DA2522" w:rsidRDefault="00000000">
            <w:r>
              <w:rPr>
                <w:sz w:val="13"/>
              </w:rPr>
              <w:t>Carlini et al., The Secret Sharer: Evaluating and Testing Unintended Memorization in Neural Networks (USENIX Security 2019) — canary exposure metric; extended to unlearning audits (arXiv:2605.18891).</w:t>
            </w:r>
          </w:p>
        </w:tc>
        <w:tc>
          <w:tcPr>
            <w:tcW w:w="2880" w:type="dxa"/>
            <w:vAlign w:val="center"/>
          </w:tcPr>
          <w:p w14:paraId="5B3BD25D" w14:textId="77777777" w:rsidR="00DA2522" w:rsidRDefault="00000000">
            <w:r>
              <w:rPr>
                <w:sz w:val="13"/>
              </w:rPr>
              <w:t>https://arxiv.org/abs/1802.08232</w:t>
            </w:r>
          </w:p>
        </w:tc>
      </w:tr>
      <w:tr w:rsidR="00DA2522" w14:paraId="2A6AE4EF" w14:textId="77777777">
        <w:trPr>
          <w:jc w:val="center"/>
        </w:trPr>
        <w:tc>
          <w:tcPr>
            <w:tcW w:w="720" w:type="dxa"/>
            <w:vAlign w:val="center"/>
          </w:tcPr>
          <w:p w14:paraId="674797D7" w14:textId="77777777" w:rsidR="00DA2522" w:rsidRDefault="00000000">
            <w:r>
              <w:rPr>
                <w:sz w:val="13"/>
              </w:rPr>
              <w:t>R49</w:t>
            </w:r>
          </w:p>
        </w:tc>
        <w:tc>
          <w:tcPr>
            <w:tcW w:w="6552" w:type="dxa"/>
            <w:vAlign w:val="center"/>
          </w:tcPr>
          <w:p w14:paraId="4098F3C3" w14:textId="77777777" w:rsidR="00DA2522" w:rsidRDefault="00000000">
            <w:r>
              <w:rPr>
                <w:sz w:val="13"/>
              </w:rPr>
              <w:t>Remember, Verify, or Ask? Cross-Family Evaluation of Memory Commitment in LLM Agents (arXiv:2608.19564, Aug. 2026) — Over-memory / Under-memory paired rates. Technical research.</w:t>
            </w:r>
          </w:p>
        </w:tc>
        <w:tc>
          <w:tcPr>
            <w:tcW w:w="2880" w:type="dxa"/>
            <w:vAlign w:val="center"/>
          </w:tcPr>
          <w:p w14:paraId="46CC65D1" w14:textId="77777777" w:rsidR="00DA2522" w:rsidRDefault="00000000">
            <w:r>
              <w:rPr>
                <w:sz w:val="13"/>
              </w:rPr>
              <w:t>https://arxiv.org/abs/2608.19564</w:t>
            </w:r>
          </w:p>
        </w:tc>
      </w:tr>
      <w:tr w:rsidR="00DA2522" w14:paraId="6D6119EE" w14:textId="77777777">
        <w:trPr>
          <w:jc w:val="center"/>
        </w:trPr>
        <w:tc>
          <w:tcPr>
            <w:tcW w:w="720" w:type="dxa"/>
            <w:vAlign w:val="center"/>
          </w:tcPr>
          <w:p w14:paraId="61DD6EC7" w14:textId="77777777" w:rsidR="00DA2522" w:rsidRDefault="00000000">
            <w:r>
              <w:rPr>
                <w:sz w:val="13"/>
              </w:rPr>
              <w:t>R50</w:t>
            </w:r>
          </w:p>
        </w:tc>
        <w:tc>
          <w:tcPr>
            <w:tcW w:w="6552" w:type="dxa"/>
            <w:vAlign w:val="center"/>
          </w:tcPr>
          <w:p w14:paraId="06EFACDA" w14:textId="77777777" w:rsidR="00DA2522" w:rsidRDefault="00000000">
            <w:r>
              <w:rPr>
                <w:sz w:val="13"/>
              </w:rPr>
              <w:t>Memory for Autonomous LLM Agents: Mechanisms, Evaluation, and Emerging Frontiers (arXiv:2603.07670, Mar. 2026), incl. MemoryArena results; Databricks (Apr. 2026) report on confident reuse of stale incorrect memory (as reported).</w:t>
            </w:r>
          </w:p>
        </w:tc>
        <w:tc>
          <w:tcPr>
            <w:tcW w:w="2880" w:type="dxa"/>
            <w:vAlign w:val="center"/>
          </w:tcPr>
          <w:p w14:paraId="33C6D188" w14:textId="77777777" w:rsidR="00DA2522" w:rsidRDefault="00000000">
            <w:r>
              <w:rPr>
                <w:sz w:val="13"/>
              </w:rPr>
              <w:t>https://arxiv.org/abs/2603.07670</w:t>
            </w:r>
          </w:p>
        </w:tc>
      </w:tr>
      <w:tr w:rsidR="00DA2522" w14:paraId="0F7D3D8C" w14:textId="77777777">
        <w:trPr>
          <w:jc w:val="center"/>
        </w:trPr>
        <w:tc>
          <w:tcPr>
            <w:tcW w:w="720" w:type="dxa"/>
            <w:vAlign w:val="center"/>
          </w:tcPr>
          <w:p w14:paraId="412CC343" w14:textId="77777777" w:rsidR="00DA2522" w:rsidRDefault="00000000">
            <w:r>
              <w:rPr>
                <w:sz w:val="13"/>
              </w:rPr>
              <w:t>R51</w:t>
            </w:r>
          </w:p>
        </w:tc>
        <w:tc>
          <w:tcPr>
            <w:tcW w:w="6552" w:type="dxa"/>
            <w:vAlign w:val="center"/>
          </w:tcPr>
          <w:p w14:paraId="6D4BA84B" w14:textId="77777777" w:rsidR="00DA2522" w:rsidRDefault="00000000">
            <w:r>
              <w:rPr>
                <w:sz w:val="13"/>
              </w:rPr>
              <w:t>Future AGI, Evaluating Agent Memory Systems in 2026 (industry evaluation-SDK rubrics: Groundedness, DataPrivacyCompliance, MemoryFreshness, ContradictionResolution, ForgettingCompliance), May 2026. Industry practice, not authority.</w:t>
            </w:r>
          </w:p>
        </w:tc>
        <w:tc>
          <w:tcPr>
            <w:tcW w:w="2880" w:type="dxa"/>
            <w:vAlign w:val="center"/>
          </w:tcPr>
          <w:p w14:paraId="0A8445FA" w14:textId="77777777" w:rsidR="00DA2522" w:rsidRDefault="00000000">
            <w:r>
              <w:rPr>
                <w:sz w:val="13"/>
              </w:rPr>
              <w:t>https://futureagi.com/blog/evaluating-agent-memory-systems-2026/</w:t>
            </w:r>
          </w:p>
        </w:tc>
      </w:tr>
    </w:tbl>
    <w:p w14:paraId="52AEE067" w14:textId="77777777" w:rsidR="00DA2522" w:rsidRDefault="00DA2522">
      <w:pPr>
        <w:spacing w:after="0"/>
      </w:pPr>
    </w:p>
    <w:p w14:paraId="19E3A045" w14:textId="77777777" w:rsidR="00DA2522" w:rsidRDefault="00000000">
      <w:pPr>
        <w:pStyle w:val="Heading1"/>
      </w:pPr>
      <w:r>
        <w:t>Appendix B. Recommended Authority Labels for Future Guidelines</w:t>
      </w:r>
    </w:p>
    <w:tbl>
      <w:tblPr>
        <w:tblStyle w:val="TableGrid"/>
        <w:tblW w:w="0" w:type="auto"/>
        <w:jc w:val="center"/>
        <w:tblLook w:val="04A0" w:firstRow="1" w:lastRow="0" w:firstColumn="1" w:lastColumn="0" w:noHBand="0" w:noVBand="1"/>
      </w:tblPr>
      <w:tblGrid>
        <w:gridCol w:w="2827"/>
        <w:gridCol w:w="7325"/>
      </w:tblGrid>
      <w:tr w:rsidR="00DA2522" w14:paraId="417B818F" w14:textId="77777777">
        <w:trPr>
          <w:jc w:val="center"/>
        </w:trPr>
        <w:tc>
          <w:tcPr>
            <w:tcW w:w="2880" w:type="dxa"/>
            <w:shd w:val="clear" w:color="auto" w:fill="173A5E"/>
            <w:vAlign w:val="center"/>
          </w:tcPr>
          <w:p w14:paraId="4C882A2B" w14:textId="77777777" w:rsidR="00DA2522" w:rsidRDefault="00000000">
            <w:r>
              <w:rPr>
                <w:b/>
                <w:color w:val="FFFFFF"/>
                <w:sz w:val="17"/>
              </w:rPr>
              <w:t>Label</w:t>
            </w:r>
          </w:p>
        </w:tc>
        <w:tc>
          <w:tcPr>
            <w:tcW w:w="7488" w:type="dxa"/>
            <w:shd w:val="clear" w:color="auto" w:fill="173A5E"/>
            <w:vAlign w:val="center"/>
          </w:tcPr>
          <w:p w14:paraId="1EC688D1" w14:textId="77777777" w:rsidR="00DA2522" w:rsidRDefault="00000000">
            <w:r>
              <w:rPr>
                <w:b/>
                <w:color w:val="FFFFFF"/>
                <w:sz w:val="17"/>
              </w:rPr>
              <w:t>Meaning</w:t>
            </w:r>
          </w:p>
        </w:tc>
      </w:tr>
      <w:tr w:rsidR="00DA2522" w14:paraId="02241D29" w14:textId="77777777">
        <w:trPr>
          <w:jc w:val="center"/>
        </w:trPr>
        <w:tc>
          <w:tcPr>
            <w:tcW w:w="2880" w:type="dxa"/>
            <w:vAlign w:val="center"/>
          </w:tcPr>
          <w:p w14:paraId="3A26174D" w14:textId="77777777" w:rsidR="00DA2522" w:rsidRDefault="00000000">
            <w:r>
              <w:rPr>
                <w:sz w:val="17"/>
              </w:rPr>
              <w:t>Binding law / rule</w:t>
            </w:r>
          </w:p>
        </w:tc>
        <w:tc>
          <w:tcPr>
            <w:tcW w:w="7488" w:type="dxa"/>
            <w:vAlign w:val="center"/>
          </w:tcPr>
          <w:p w14:paraId="6258C255" w14:textId="77777777" w:rsidR="00DA2522" w:rsidRDefault="00000000">
            <w:r>
              <w:rPr>
                <w:sz w:val="17"/>
              </w:rPr>
              <w:t>Applies when jurisdictional/entity/use-case conditions are met; legal interpretation required.</w:t>
            </w:r>
          </w:p>
        </w:tc>
      </w:tr>
      <w:tr w:rsidR="00DA2522" w14:paraId="191567DC" w14:textId="77777777">
        <w:trPr>
          <w:jc w:val="center"/>
        </w:trPr>
        <w:tc>
          <w:tcPr>
            <w:tcW w:w="2880" w:type="dxa"/>
            <w:shd w:val="clear" w:color="auto" w:fill="F3F6F9"/>
            <w:vAlign w:val="center"/>
          </w:tcPr>
          <w:p w14:paraId="3E7F5F0C" w14:textId="77777777" w:rsidR="00DA2522" w:rsidRDefault="00000000">
            <w:r>
              <w:rPr>
                <w:sz w:val="17"/>
              </w:rPr>
              <w:t>Conditional binding obligation</w:t>
            </w:r>
          </w:p>
        </w:tc>
        <w:tc>
          <w:tcPr>
            <w:tcW w:w="7488" w:type="dxa"/>
            <w:shd w:val="clear" w:color="auto" w:fill="F3F6F9"/>
            <w:vAlign w:val="center"/>
          </w:tcPr>
          <w:p w14:paraId="376E2F32" w14:textId="77777777" w:rsidR="00DA2522" w:rsidRDefault="00000000">
            <w:r>
              <w:rPr>
                <w:sz w:val="17"/>
              </w:rPr>
              <w:t>Binding only if classification/role/use-case condition is met (e.g., high-risk AI Act requirements).</w:t>
            </w:r>
          </w:p>
        </w:tc>
      </w:tr>
      <w:tr w:rsidR="00DA2522" w14:paraId="427EF21B" w14:textId="77777777">
        <w:trPr>
          <w:jc w:val="center"/>
        </w:trPr>
        <w:tc>
          <w:tcPr>
            <w:tcW w:w="2880" w:type="dxa"/>
            <w:vAlign w:val="center"/>
          </w:tcPr>
          <w:p w14:paraId="653E1C77" w14:textId="77777777" w:rsidR="00DA2522" w:rsidRDefault="00000000">
            <w:r>
              <w:rPr>
                <w:sz w:val="17"/>
              </w:rPr>
              <w:t>Supervisory guidance</w:t>
            </w:r>
          </w:p>
        </w:tc>
        <w:tc>
          <w:tcPr>
            <w:tcW w:w="7488" w:type="dxa"/>
            <w:vAlign w:val="center"/>
          </w:tcPr>
          <w:p w14:paraId="1AD6EE41" w14:textId="77777777" w:rsidR="00DA2522" w:rsidRDefault="00000000">
            <w:r>
              <w:rPr>
                <w:sz w:val="17"/>
              </w:rPr>
              <w:t>Non-statutory expectations for supervised entities; formal scope matters.</w:t>
            </w:r>
          </w:p>
        </w:tc>
      </w:tr>
      <w:tr w:rsidR="00DA2522" w14:paraId="37F8C4DB" w14:textId="77777777">
        <w:trPr>
          <w:jc w:val="center"/>
        </w:trPr>
        <w:tc>
          <w:tcPr>
            <w:tcW w:w="2880" w:type="dxa"/>
            <w:shd w:val="clear" w:color="auto" w:fill="F3F6F9"/>
            <w:vAlign w:val="center"/>
          </w:tcPr>
          <w:p w14:paraId="1B1ABC05" w14:textId="77777777" w:rsidR="00DA2522" w:rsidRDefault="00000000">
            <w:r>
              <w:rPr>
                <w:sz w:val="17"/>
              </w:rPr>
              <w:t>Sector framework / policy guidance</w:t>
            </w:r>
          </w:p>
        </w:tc>
        <w:tc>
          <w:tcPr>
            <w:tcW w:w="7488" w:type="dxa"/>
            <w:shd w:val="clear" w:color="auto" w:fill="F3F6F9"/>
            <w:vAlign w:val="center"/>
          </w:tcPr>
          <w:p w14:paraId="6BABC6DC" w14:textId="77777777" w:rsidR="00DA2522" w:rsidRDefault="00000000">
            <w:r>
              <w:rPr>
                <w:sz w:val="17"/>
              </w:rPr>
              <w:t>Voluntary or policy-oriented framework useful for control design but not independently binding.</w:t>
            </w:r>
          </w:p>
        </w:tc>
      </w:tr>
      <w:tr w:rsidR="00DA2522" w14:paraId="441E0A16" w14:textId="77777777">
        <w:trPr>
          <w:jc w:val="center"/>
        </w:trPr>
        <w:tc>
          <w:tcPr>
            <w:tcW w:w="2880" w:type="dxa"/>
            <w:vAlign w:val="center"/>
          </w:tcPr>
          <w:p w14:paraId="5DA4E4CA" w14:textId="77777777" w:rsidR="00DA2522" w:rsidRDefault="00000000">
            <w:r>
              <w:rPr>
                <w:sz w:val="17"/>
              </w:rPr>
              <w:t>Industry / technical standard</w:t>
            </w:r>
          </w:p>
        </w:tc>
        <w:tc>
          <w:tcPr>
            <w:tcW w:w="7488" w:type="dxa"/>
            <w:vAlign w:val="center"/>
          </w:tcPr>
          <w:p w14:paraId="19EA146B" w14:textId="77777777" w:rsidR="00DA2522" w:rsidRDefault="00000000">
            <w:r>
              <w:rPr>
                <w:sz w:val="17"/>
              </w:rPr>
              <w:t>Voluntary standard that can provide management-system or control evidence.</w:t>
            </w:r>
          </w:p>
        </w:tc>
      </w:tr>
      <w:tr w:rsidR="00DA2522" w14:paraId="3D247FB3" w14:textId="77777777">
        <w:trPr>
          <w:jc w:val="center"/>
        </w:trPr>
        <w:tc>
          <w:tcPr>
            <w:tcW w:w="2880" w:type="dxa"/>
            <w:shd w:val="clear" w:color="auto" w:fill="F3F6F9"/>
            <w:vAlign w:val="center"/>
          </w:tcPr>
          <w:p w14:paraId="4F75D731" w14:textId="77777777" w:rsidR="00DA2522" w:rsidRDefault="00000000">
            <w:r>
              <w:rPr>
                <w:sz w:val="17"/>
              </w:rPr>
              <w:t>Technical evidence</w:t>
            </w:r>
          </w:p>
        </w:tc>
        <w:tc>
          <w:tcPr>
            <w:tcW w:w="7488" w:type="dxa"/>
            <w:shd w:val="clear" w:color="auto" w:fill="F3F6F9"/>
            <w:vAlign w:val="center"/>
          </w:tcPr>
          <w:p w14:paraId="76CD4D89" w14:textId="77777777" w:rsidR="00DA2522" w:rsidRDefault="00000000">
            <w:r>
              <w:rPr>
                <w:sz w:val="17"/>
              </w:rPr>
              <w:t>Research/security evidence supporting risk assessment; not a legal requirement.</w:t>
            </w:r>
          </w:p>
        </w:tc>
      </w:tr>
      <w:tr w:rsidR="00DA2522" w14:paraId="4DCFF504" w14:textId="77777777">
        <w:trPr>
          <w:jc w:val="center"/>
        </w:trPr>
        <w:tc>
          <w:tcPr>
            <w:tcW w:w="2880" w:type="dxa"/>
            <w:vAlign w:val="center"/>
          </w:tcPr>
          <w:p w14:paraId="3C43C454" w14:textId="77777777" w:rsidR="00DA2522" w:rsidRDefault="00000000">
            <w:r>
              <w:rPr>
                <w:sz w:val="17"/>
              </w:rPr>
              <w:t>Internal policy requirement</w:t>
            </w:r>
          </w:p>
        </w:tc>
        <w:tc>
          <w:tcPr>
            <w:tcW w:w="7488" w:type="dxa"/>
            <w:vAlign w:val="center"/>
          </w:tcPr>
          <w:p w14:paraId="0ECF9D3D" w14:textId="77777777" w:rsidR="00DA2522" w:rsidRDefault="00000000">
            <w:r>
              <w:rPr>
                <w:sz w:val="17"/>
              </w:rPr>
              <w:t>Enterprise choice that may exceed minimum external requirements to provide consistent platform governance.</w:t>
            </w:r>
          </w:p>
        </w:tc>
      </w:tr>
    </w:tbl>
    <w:p w14:paraId="3DF77BB6" w14:textId="77777777" w:rsidR="00DA2522" w:rsidRDefault="00DA2522">
      <w:pPr>
        <w:spacing w:after="0"/>
      </w:pPr>
    </w:p>
    <w:p w14:paraId="5A51C61D" w14:textId="77777777" w:rsidR="00DA2522" w:rsidRDefault="00000000">
      <w:pPr>
        <w:pStyle w:val="Heading1"/>
      </w:pPr>
      <w:r>
        <w:lastRenderedPageBreak/>
        <w:t>Appendix C. Interpretive Caveats</w:t>
      </w:r>
    </w:p>
    <w:p w14:paraId="0E2A2DF1" w14:textId="77777777" w:rsidR="00DA2522" w:rsidRDefault="00000000">
      <w:pPr>
        <w:pStyle w:val="ListBullet"/>
        <w:spacing w:after="50"/>
      </w:pPr>
      <w:r>
        <w:t>This memorandum is research synthesis, not legal advice. Regulatory applicability should be confirmed per entity, jurisdiction, system role, data population and use case.</w:t>
      </w:r>
    </w:p>
    <w:p w14:paraId="03311D25" w14:textId="77777777" w:rsidR="00DA2522" w:rsidRDefault="00000000">
      <w:pPr>
        <w:pStyle w:val="ListBullet"/>
        <w:spacing w:after="50"/>
      </w:pPr>
      <w:r>
        <w:t>Legal sources and effective dates can change. The EU AI Act timing in this draft reflects the consolidated EUR-Lex text current 27 July 2026; future amendments or guidance should be monitored.</w:t>
      </w:r>
    </w:p>
    <w:p w14:paraId="0E37B676" w14:textId="77777777" w:rsidR="00DA2522" w:rsidRDefault="00000000">
      <w:pPr>
        <w:pStyle w:val="ListBullet"/>
        <w:spacing w:after="50"/>
      </w:pPr>
      <w:r>
        <w:t>FS AI RMF, NIST AI RMF and ISO/IEC 42001 are not substitutes for binding legal obligations, but are useful organizing/evidence frameworks.</w:t>
      </w:r>
    </w:p>
    <w:p w14:paraId="0A5F922F" w14:textId="77777777" w:rsidR="00DA2522" w:rsidRDefault="00000000">
      <w:pPr>
        <w:pStyle w:val="ListBullet"/>
        <w:spacing w:after="50"/>
      </w:pPr>
      <w:r>
        <w:t>SR 26-2 and the 2023 interagency third-party guidance formally target banking organizations; their use here is analogical unless a relevant operating entity falls within scope.</w:t>
      </w:r>
    </w:p>
    <w:p w14:paraId="0F77B9DE" w14:textId="77777777" w:rsidR="00DA2522" w:rsidRDefault="00000000">
      <w:pPr>
        <w:pStyle w:val="ListBullet"/>
        <w:spacing w:after="50"/>
      </w:pPr>
      <w:r>
        <w:t>Graphiti behavior described here is based on public source/docs and security advisories, not an audit of a specific enterprise deployment. Deletion, provider routing, database semantics and isolation must be tested in the deployed configuration.</w:t>
      </w:r>
    </w:p>
    <w:p w14:paraId="7F22343D" w14:textId="77777777" w:rsidR="00DA2522" w:rsidRDefault="00000000">
      <w:pPr>
        <w:pStyle w:val="ListBullet"/>
        <w:spacing w:after="50"/>
      </w:pPr>
      <w:r>
        <w:t>The “Ghost Vectors” paper is technical research, not regulatory guidance; it is cited because it demonstrates a practical residual-risk mechanism relevant to erasure assurance.</w:t>
      </w:r>
    </w:p>
    <w:p w14:paraId="5E3B0A02" w14:textId="77777777" w:rsidR="00DA2522" w:rsidRDefault="00000000">
      <w:pPr>
        <w:pStyle w:val="ListBullet"/>
        <w:spacing w:after="50"/>
      </w:pPr>
      <w:r>
        <w:t>CVE-2026-90601 (Graphiti REST API authentication bypass, Section 7.2) was open and unpatched — fix pending as an unmerged pull request — as of this draft's currency date. This status should be re-verified against the current GetZep Graphiti security advisories before this memorandum is relied upon or circulated further, and before any Graphiti deployment exposing the affected REST API is treated as production-ready.</w:t>
      </w:r>
    </w:p>
    <w:p w14:paraId="19FBE6B0" w14:textId="77777777" w:rsidR="00DA2522" w:rsidRDefault="00000000">
      <w:pPr>
        <w:pStyle w:val="Heading1"/>
      </w:pPr>
      <w:r>
        <w:t>Appendix D. APAC Regulatory Signals for a Global Manager</w:t>
      </w:r>
    </w:p>
    <w:p w14:paraId="6FCDC05B" w14:textId="77777777" w:rsidR="00DA2522" w:rsidRDefault="00000000">
      <w:pPr>
        <w:spacing w:after="100" w:line="252" w:lineRule="auto"/>
      </w:pPr>
      <w:r>
        <w:t>The body of this memorandum is EU/UK/U.S.-centric. For an entity with licensed operations in Asia-Pacific, the following instruments are directly applicable to memory-enabled research, advisory and client-facing agents and should be incorporated into scope-tiered governance (C12):</w:t>
      </w:r>
    </w:p>
    <w:p w14:paraId="43595BC5" w14:textId="77777777" w:rsidR="00DA2522" w:rsidRDefault="00000000">
      <w:pPr>
        <w:pStyle w:val="ListBullet"/>
        <w:spacing w:after="60"/>
      </w:pPr>
      <w:r>
        <w:rPr>
          <w:b/>
        </w:rPr>
        <w:t xml:space="preserve">Hong Kong SFC, Circular on the Use of Generative AI Language Models (12 November 2024, in force). </w:t>
      </w:r>
      <w:r>
        <w:t>Four core principles (senior-management oversight, AI model risk management, cybersecurity and data protection, third-party risk management). Use of AI language models to provide investment recommendations, investment advice or investment research to clients is designated a high-risk use case, subject to enhanced controls and to notification requirements under the Securities and Futures (Licensing and Registration) (Information) Rules. A memory-driven research or advisory agent operated by an SFC-licensed corporation would fall within this designation. [R44]</w:t>
      </w:r>
    </w:p>
    <w:p w14:paraId="56226005" w14:textId="77777777" w:rsidR="00DA2522" w:rsidRDefault="00000000">
      <w:pPr>
        <w:pStyle w:val="ListBullet"/>
        <w:spacing w:after="60"/>
      </w:pPr>
      <w:r>
        <w:rPr>
          <w:b/>
        </w:rPr>
        <w:t xml:space="preserve">Hong Kong SFC, Circular on AI-enabled cyber risks (2 June 2026). </w:t>
      </w:r>
      <w:r>
        <w:t>Reiterates that a firm's own AI deployments — internal, affiliate-provided, third-party or open-source — are part of its attack surface and must be governed within the cybersecurity and incident-response framework; highlights patching and vulnerability management. Directly relevant to C5 and C10 for Graphiti. [R44]</w:t>
      </w:r>
    </w:p>
    <w:p w14:paraId="7FCA7648" w14:textId="77777777" w:rsidR="00DA2522" w:rsidRDefault="00000000">
      <w:pPr>
        <w:pStyle w:val="ListBullet"/>
        <w:spacing w:after="60"/>
      </w:pPr>
      <w:r>
        <w:rPr>
          <w:b/>
        </w:rPr>
        <w:t xml:space="preserve">HKMA, Circular on consumer-protection aspects of generative AI (19 August 2024). </w:t>
      </w:r>
      <w:r>
        <w:t>Requires opt-out and human-intervention options in customer-facing applications and continuous output monitoring; relevant to C4/C21 for any bank-affiliated or bank-distributed channel. [R44]</w:t>
      </w:r>
    </w:p>
    <w:p w14:paraId="15289987" w14:textId="77777777" w:rsidR="00DA2522" w:rsidRDefault="00000000">
      <w:pPr>
        <w:pStyle w:val="ListBullet"/>
        <w:spacing w:after="60"/>
      </w:pPr>
      <w:r>
        <w:rPr>
          <w:b/>
        </w:rPr>
        <w:t xml:space="preserve">Singapore IMDA, Model AI Governance Framework for Agentic AI (January 2026). </w:t>
      </w:r>
      <w:r>
        <w:t>The first agentic-specific national governance framework; useful as a control-vocabulary cross-check for Sections 9–13. [R45]</w:t>
      </w:r>
    </w:p>
    <w:p w14:paraId="51967CC6" w14:textId="77777777" w:rsidR="00DA2522" w:rsidRDefault="00000000">
      <w:pPr>
        <w:pStyle w:val="ListBullet"/>
        <w:spacing w:after="60"/>
      </w:pPr>
      <w:r>
        <w:rPr>
          <w:b/>
        </w:rPr>
        <w:t xml:space="preserve">Singapore MAS, Project MindForge AI Risk Management Operationalisation Handbook and case studies (March 2026). </w:t>
      </w:r>
      <w:r>
        <w:t>Financial-sector-specific operationalisation guidance for AI risk management, complementing the Treasury FS AI RMF for MAS-regulated entities. [R45]</w:t>
      </w:r>
    </w:p>
    <w:p w14:paraId="153DA2A1" w14:textId="77777777" w:rsidR="00DA2522" w:rsidRDefault="00000000">
      <w:pPr>
        <w:spacing w:after="100" w:line="252" w:lineRule="auto"/>
      </w:pPr>
      <w:r>
        <w:t>Other jurisdictions in which RockAI-supported entities are licensed (e.g., Japan, Australia, Canada) should be added by Legal/Regulatory Affairs before the specification is treated as global.</w:t>
      </w:r>
    </w:p>
    <w:p w14:paraId="7894C723" w14:textId="77777777" w:rsidR="00DA2522" w:rsidRDefault="00000000">
      <w:pPr>
        <w:pStyle w:val="Heading1"/>
      </w:pPr>
      <w:r>
        <w:lastRenderedPageBreak/>
        <w:t>Appendix E. Source-Currency Register</w:t>
      </w:r>
    </w:p>
    <w:p w14:paraId="7EA882F2" w14:textId="77777777" w:rsidR="00DA2522" w:rsidRDefault="00000000">
      <w:pPr>
        <w:spacing w:after="100" w:line="252" w:lineRule="auto"/>
      </w:pPr>
      <w:r>
        <w:t>Three load-bearing facts in this memorandum changed within four months of drafting. This register records, for each fast-moving item, the status last verified and the next known change event, so that the document can be maintained rather than re-researched. Each row should be re-verified before external circulation.</w:t>
      </w:r>
    </w:p>
    <w:p w14:paraId="21B47A13" w14:textId="77777777" w:rsidR="00DA2522" w:rsidRDefault="00000000">
      <w:pPr>
        <w:pStyle w:val="ListBullet"/>
        <w:spacing w:after="60"/>
      </w:pPr>
      <w:r>
        <w:rPr>
          <w:b/>
        </w:rPr>
        <w:t xml:space="preserve">EU AI Act high-risk dates — verified 17 Sept 2026. </w:t>
      </w:r>
      <w:r>
        <w:t>Regulation (EU) 2026/1744 in force 27 Jul 2026; Annex III from 2 Dec 2027, Annex I from 2 Aug 2028. Next event: none scheduled; monitor Commission guidance.</w:t>
      </w:r>
    </w:p>
    <w:p w14:paraId="23BBDDA1" w14:textId="77777777" w:rsidR="00DA2522" w:rsidRDefault="00000000">
      <w:pPr>
        <w:pStyle w:val="ListBullet"/>
        <w:spacing w:after="60"/>
      </w:pPr>
      <w:r>
        <w:rPr>
          <w:b/>
        </w:rPr>
        <w:t xml:space="preserve">prEN 18229-1 (Art. 12 logging) — verified 17 Sept 2026. </w:t>
      </w:r>
      <w:r>
        <w:t>Enquiry closed; vote closed 20 Aug 2026. Next event: publication as EN / OJEU citation. prEN 18229-3 (oversight) enquiry closes 22 Sept 2026.</w:t>
      </w:r>
    </w:p>
    <w:p w14:paraId="79324233" w14:textId="77777777" w:rsidR="00DA2522" w:rsidRDefault="00000000">
      <w:pPr>
        <w:pStyle w:val="ListBullet"/>
        <w:spacing w:after="60"/>
      </w:pPr>
      <w:r>
        <w:rPr>
          <w:b/>
        </w:rPr>
        <w:t xml:space="preserve">EDPB Guidelines 02/2026 (anonymisation) — verified 17 Sept 2026. </w:t>
      </w:r>
      <w:r>
        <w:t>Draft under consultation. Next event: consultation closes 30 Oct 2026; adoption expected thereafter.</w:t>
      </w:r>
    </w:p>
    <w:p w14:paraId="1822A121" w14:textId="77777777" w:rsidR="00DA2522" w:rsidRDefault="00000000">
      <w:pPr>
        <w:pStyle w:val="ListBullet"/>
        <w:spacing w:after="60"/>
      </w:pPr>
      <w:r>
        <w:rPr>
          <w:b/>
        </w:rPr>
        <w:t xml:space="preserve">U.S. banking-agencies AI/agentic model-risk RFI — verified 17 Sept 2026. </w:t>
      </w:r>
      <w:r>
        <w:t>Promised in SR 26-2 / OCC 2026-13 (Apr 2026); not yet published. Next event: Federal Register publication.</w:t>
      </w:r>
    </w:p>
    <w:p w14:paraId="038C398C" w14:textId="77777777" w:rsidR="00DA2522" w:rsidRDefault="00000000">
      <w:pPr>
        <w:pStyle w:val="ListBullet"/>
        <w:spacing w:after="60"/>
      </w:pPr>
      <w:r>
        <w:rPr>
          <w:b/>
        </w:rPr>
        <w:t xml:space="preserve">Colorado SB 26-189 — verified 17 Sept 2026. </w:t>
      </w:r>
      <w:r>
        <w:t>Signed 14 May 2026; effective 1 Jan 2027; enforcement contingent on AG rulemaking; litigation by xAI against the replacement statute signalled. Next event: AG final rules.</w:t>
      </w:r>
    </w:p>
    <w:p w14:paraId="35885912" w14:textId="77777777" w:rsidR="00DA2522" w:rsidRDefault="00000000">
      <w:pPr>
        <w:pStyle w:val="ListBullet"/>
        <w:spacing w:after="60"/>
      </w:pPr>
      <w:r>
        <w:rPr>
          <w:b/>
        </w:rPr>
        <w:t xml:space="preserve">California CPPA ADMT regulations — verified 17 Sept 2026. </w:t>
      </w:r>
      <w:r>
        <w:t>In force 1 Jan 2026. Next events: 1 Jan 2027 (ADMT compliance for significant decisions); 31 Dec 2027 (legacy risk assessments); 1 Apr 2028 (attestations, &gt;$100M revenue).</w:t>
      </w:r>
    </w:p>
    <w:p w14:paraId="4ACDDDA2" w14:textId="77777777" w:rsidR="00DA2522" w:rsidRDefault="00000000">
      <w:pPr>
        <w:pStyle w:val="ListBullet"/>
        <w:spacing w:after="60"/>
      </w:pPr>
      <w:r>
        <w:rPr>
          <w:b/>
        </w:rPr>
        <w:t xml:space="preserve">DORA CTPP designation — verified 17 Sept 2026. </w:t>
      </w:r>
      <w:r>
        <w:t>First list 18 Nov 2025; Aladdin not designated. Next event: next ESA designation cycle.</w:t>
      </w:r>
    </w:p>
    <w:p w14:paraId="56BC5E60" w14:textId="77777777" w:rsidR="00DA2522" w:rsidRDefault="00000000">
      <w:pPr>
        <w:pStyle w:val="ListBullet"/>
        <w:spacing w:after="60"/>
      </w:pPr>
      <w:r>
        <w:rPr>
          <w:b/>
        </w:rPr>
        <w:t xml:space="preserve">Graphiti CVE-2026-90601 — verified 17 Sept 2026. </w:t>
      </w:r>
      <w:r>
        <w:t>Versions 0.30.0–0.30.2; CVSS 4.0 6.9; fix PR #1739 unmerged; no released patch. Next event: maintainer merge and release — re-check GetZep advisories before any deployment decision.</w:t>
      </w:r>
    </w:p>
    <w:p w14:paraId="137D7081" w14:textId="77777777" w:rsidR="00DA2522" w:rsidRDefault="00000000">
      <w:pPr>
        <w:pStyle w:val="ListBullet"/>
        <w:spacing w:after="60"/>
      </w:pPr>
      <w:r>
        <w:rPr>
          <w:b/>
        </w:rPr>
        <w:t xml:space="preserve">NIST CAISI AI Agent Standards Initiative — verified 17 Sept 2026. </w:t>
      </w:r>
      <w:r>
        <w:t>RFI closed 9 Mar 2026; no document numbers or publication timeline announced. Next event: first published deliverable.</w:t>
      </w:r>
    </w:p>
    <w:p w14:paraId="4E51C05B" w14:textId="77777777" w:rsidR="00DA2522" w:rsidRDefault="00000000">
      <w:pPr>
        <w:pStyle w:val="ListBullet"/>
        <w:spacing w:after="60"/>
      </w:pPr>
      <w:r>
        <w:rPr>
          <w:b/>
        </w:rPr>
        <w:t xml:space="preserve">FCA AI engagement external publication — verified 17 Sept 2026. </w:t>
      </w:r>
      <w:r>
        <w:t>Board recommendations due summer 2026; external publication pending. Next event: FCA publication.</w:t>
      </w:r>
    </w:p>
    <w:sectPr w:rsidR="00DA2522" w:rsidSect="00034616">
      <w:headerReference w:type="default" r:id="rId8"/>
      <w:footerReference w:type="default" r:id="rId9"/>
      <w:pgSz w:w="12240" w:h="15840"/>
      <w:pgMar w:top="1037" w:right="1152" w:bottom="1037"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E51B1" w14:textId="77777777" w:rsidR="00FE60B1" w:rsidRDefault="00FE60B1">
      <w:pPr>
        <w:spacing w:after="0" w:line="240" w:lineRule="auto"/>
      </w:pPr>
      <w:r>
        <w:separator/>
      </w:r>
    </w:p>
  </w:endnote>
  <w:endnote w:type="continuationSeparator" w:id="0">
    <w:p w14:paraId="3FF603B9" w14:textId="77777777" w:rsidR="00FE60B1" w:rsidRDefault="00FE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A8A7" w14:textId="77777777" w:rsidR="00DA2522" w:rsidRDefault="00000000">
    <w:pPr>
      <w:pStyle w:val="Footer"/>
      <w:jc w:val="center"/>
    </w:pPr>
    <w:r>
      <w:rPr>
        <w:color w:val="69737D"/>
        <w:sz w:val="16"/>
      </w:rPr>
      <w:t>Internal research draft • 21 September 2026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3BDB3" w14:textId="77777777" w:rsidR="00FE60B1" w:rsidRDefault="00FE60B1">
      <w:pPr>
        <w:spacing w:after="0" w:line="240" w:lineRule="auto"/>
      </w:pPr>
      <w:r>
        <w:separator/>
      </w:r>
    </w:p>
  </w:footnote>
  <w:footnote w:type="continuationSeparator" w:id="0">
    <w:p w14:paraId="59A9BD53" w14:textId="77777777" w:rsidR="00FE60B1" w:rsidRDefault="00FE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84F48" w14:textId="77777777" w:rsidR="00DA2522" w:rsidRDefault="00000000">
    <w:r>
      <w:rPr>
        <w:color w:val="69737D"/>
        <w:sz w:val="16"/>
      </w:rPr>
      <w:t>RockAI Agent Memory Governance | Research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607063">
    <w:abstractNumId w:val="8"/>
  </w:num>
  <w:num w:numId="2" w16cid:durableId="1230459944">
    <w:abstractNumId w:val="6"/>
  </w:num>
  <w:num w:numId="3" w16cid:durableId="1582569369">
    <w:abstractNumId w:val="5"/>
  </w:num>
  <w:num w:numId="4" w16cid:durableId="1138181083">
    <w:abstractNumId w:val="4"/>
  </w:num>
  <w:num w:numId="5" w16cid:durableId="1459109859">
    <w:abstractNumId w:val="7"/>
  </w:num>
  <w:num w:numId="6" w16cid:durableId="1058748879">
    <w:abstractNumId w:val="3"/>
  </w:num>
  <w:num w:numId="7" w16cid:durableId="52505814">
    <w:abstractNumId w:val="2"/>
  </w:num>
  <w:num w:numId="8" w16cid:durableId="59181503">
    <w:abstractNumId w:val="1"/>
  </w:num>
  <w:num w:numId="9" w16cid:durableId="1947537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10F"/>
    <w:rsid w:val="002F526A"/>
    <w:rsid w:val="00326F90"/>
    <w:rsid w:val="00AA1D8D"/>
    <w:rsid w:val="00B47730"/>
    <w:rsid w:val="00C4590B"/>
    <w:rsid w:val="00CB0664"/>
    <w:rsid w:val="00DA2522"/>
    <w:rsid w:val="00FC693F"/>
    <w:rsid w:val="00FE6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3B013"/>
  <w14:defaultImageDpi w14:val="300"/>
  <w15:docId w15:val="{72F756CD-DA1F-2F48-B381-48395910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26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4F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33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A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Callout">
    <w:name w:val="Memo Callout"/>
    <w:pPr>
      <w:spacing w:before="120" w:after="120"/>
      <w:ind w:left="360" w:right="360"/>
    </w:pPr>
    <w:rPr>
      <w:rFonts w:ascii="Aptos" w:hAnsi="Aptos"/>
      <w:i/>
      <w:color w:val="283C5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28</Pages>
  <Words>17223</Words>
  <Characters>96108</Characters>
  <Application>Microsoft Office Word</Application>
  <DocSecurity>0</DocSecurity>
  <Lines>1353</Lines>
  <Paragraphs>534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Mingshu Li</cp:lastModifiedBy>
  <cp:revision>3</cp:revision>
  <dcterms:created xsi:type="dcterms:W3CDTF">2013-12-23T23:15:00Z</dcterms:created>
  <dcterms:modified xsi:type="dcterms:W3CDTF">2026-09-29T17:16:00Z</dcterms:modified>
  <cp:category/>
</cp:coreProperties>
</file>