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 API Design Guidelines v2.0</w:t>
      </w:r>
    </w:p>
    <w:p>
      <w:r>
        <w:t>Version 2.0 — Last updated: 2026-03-15</w:t>
      </w:r>
    </w:p>
    <w:p>
      <w:r>
        <w:t>This document establishes the canonical REST API design standards for all services within the MicroShop platform. All new endpoints must conform to these guidelines before passing API review.</w:t>
      </w:r>
    </w:p>
    <w:p>
      <w:pPr>
        <w:pStyle w:val="Heading1"/>
      </w:pPr>
      <w:r>
        <w:t>1. Naming Conventions</w:t>
      </w:r>
    </w:p>
    <w:p>
      <w:r>
        <w:t>Resource URIs must follow these rules:</w:t>
      </w:r>
    </w:p>
    <w:p>
      <w:pPr>
        <w:pStyle w:val="ListBullet"/>
      </w:pPr>
      <w:r>
        <w:t>Use nouns, never verbs, for resource names (e.g., /orders not /getOrders)</w:t>
      </w:r>
    </w:p>
    <w:p>
      <w:pPr>
        <w:pStyle w:val="ListBullet"/>
      </w:pPr>
      <w:r>
        <w:t>Use plural resource names consistently (e.g., /products, /users, /categories)</w:t>
      </w:r>
    </w:p>
    <w:p>
      <w:pPr>
        <w:pStyle w:val="ListBullet"/>
      </w:pPr>
      <w:r>
        <w:t>Use kebab-case for multi-word resource names (e.g., /order-items, /shipping-addresses)</w:t>
      </w:r>
    </w:p>
    <w:p>
      <w:pPr>
        <w:pStyle w:val="ListBullet"/>
      </w:pPr>
      <w:r>
        <w:t>Nest sub-resources to express relationships: /users/{id}/orders</w:t>
      </w:r>
    </w:p>
    <w:p>
      <w:pPr>
        <w:pStyle w:val="ListBullet"/>
      </w:pPr>
      <w:r>
        <w:t>Limit nesting depth to two levels maximum; use query filters beyond that</w:t>
      </w:r>
    </w:p>
    <w:p>
      <w:pPr>
        <w:pStyle w:val="ListBullet"/>
      </w:pPr>
      <w:r>
        <w:t>Resource identifiers must be UUIDs in lowercase format: /products/550e8400-e29b-41d4-a716-446655440000</w:t>
      </w:r>
    </w:p>
    <w:p>
      <w:pPr>
        <w:pStyle w:val="Heading1"/>
      </w:pPr>
      <w:r>
        <w:t>2. HTTP Methods</w:t>
      </w:r>
    </w:p>
    <w:p>
      <w:r>
        <w:t>Each HTTP method maps to a specific CRUD operation. The following table defines the canonical mapping: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CRUD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URI Pattern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 Code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Read</w:t>
            </w:r>
          </w:p>
        </w:tc>
        <w:tc>
          <w:tcPr>
            <w:tcW w:type="dxa" w:w="2160"/>
          </w:tcPr>
          <w:p>
            <w:r>
              <w:t>/resources or /resources/{id}</w:t>
            </w:r>
          </w:p>
        </w:tc>
        <w:tc>
          <w:tcPr>
            <w:tcW w:type="dxa" w:w="2160"/>
          </w:tcPr>
          <w:p>
            <w:r>
              <w:t>200 OK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/resources</w:t>
            </w:r>
          </w:p>
        </w:tc>
        <w:tc>
          <w:tcPr>
            <w:tcW w:type="dxa" w:w="2160"/>
          </w:tcPr>
          <w:p>
            <w:r>
              <w:t>201 Created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Replace</w:t>
            </w:r>
          </w:p>
        </w:tc>
        <w:tc>
          <w:tcPr>
            <w:tcW w:type="dxa" w:w="2160"/>
          </w:tcPr>
          <w:p>
            <w:r>
              <w:t>/resources/{id}</w:t>
            </w:r>
          </w:p>
        </w:tc>
        <w:tc>
          <w:tcPr>
            <w:tcW w:type="dxa" w:w="2160"/>
          </w:tcPr>
          <w:p>
            <w:r>
              <w:t>200 OK</w:t>
            </w:r>
          </w:p>
        </w:tc>
      </w:tr>
      <w:tr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Update</w:t>
            </w:r>
          </w:p>
        </w:tc>
        <w:tc>
          <w:tcPr>
            <w:tcW w:type="dxa" w:w="2160"/>
          </w:tcPr>
          <w:p>
            <w:r>
              <w:t>/resources/{id}</w:t>
            </w:r>
          </w:p>
        </w:tc>
        <w:tc>
          <w:tcPr>
            <w:tcW w:type="dxa" w:w="2160"/>
          </w:tcPr>
          <w:p>
            <w:r>
              <w:t>200 OK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/resources/{id}</w:t>
            </w:r>
          </w:p>
        </w:tc>
        <w:tc>
          <w:tcPr>
            <w:tcW w:type="dxa" w:w="2160"/>
          </w:tcPr>
          <w:p>
            <w:r>
              <w:t>204 No Content</w:t>
            </w:r>
          </w:p>
        </w:tc>
      </w:tr>
    </w:tbl>
    <w:p/>
    <w:p>
      <w:r>
        <w:t>GET requests must be idempotent and safe. POST requests are not idempotent. PUT replaces the entire resource; PATCH applies a partial update. DELETE is idempotent — deleting an already-deleted resource returns 204.</w:t>
      </w:r>
    </w:p>
    <w:p>
      <w:pPr>
        <w:pStyle w:val="Heading1"/>
      </w:pPr>
      <w:r>
        <w:t>3. Status Codes</w:t>
      </w:r>
    </w:p>
    <w:p>
      <w:r>
        <w:t>Services must use the following HTTP status codes consistently: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200 OK</w:t>
            </w:r>
          </w:p>
        </w:tc>
        <w:tc>
          <w:tcPr>
            <w:tcW w:type="dxa" w:w="4320"/>
          </w:tcPr>
          <w:p>
            <w:r>
              <w:t>Successful GET, PUT, or PATCH. Response body contains the resource.</w:t>
            </w:r>
          </w:p>
        </w:tc>
      </w:tr>
      <w:tr>
        <w:tc>
          <w:tcPr>
            <w:tcW w:type="dxa" w:w="4320"/>
          </w:tcPr>
          <w:p>
            <w:r>
              <w:t>201 Created</w:t>
            </w:r>
          </w:p>
        </w:tc>
        <w:tc>
          <w:tcPr>
            <w:tcW w:type="dxa" w:w="4320"/>
          </w:tcPr>
          <w:p>
            <w:r>
              <w:t>Successful POST. Location header points to the new resource.</w:t>
            </w:r>
          </w:p>
        </w:tc>
      </w:tr>
      <w:tr>
        <w:tc>
          <w:tcPr>
            <w:tcW w:type="dxa" w:w="4320"/>
          </w:tcPr>
          <w:p>
            <w:r>
              <w:t>204 No Content</w:t>
            </w:r>
          </w:p>
        </w:tc>
        <w:tc>
          <w:tcPr>
            <w:tcW w:type="dxa" w:w="4320"/>
          </w:tcPr>
          <w:p>
            <w:r>
              <w:t>Successful DELETE. No response body.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Malformed request syntax, invalid JSON, or missing required fields.</w:t>
            </w:r>
          </w:p>
        </w:tc>
      </w:tr>
      <w:tr>
        <w:tc>
          <w:tcPr>
            <w:tcW w:type="dxa" w:w="4320"/>
          </w:tcPr>
          <w:p>
            <w:r>
              <w:t>401 Unauthorized</w:t>
            </w:r>
          </w:p>
        </w:tc>
        <w:tc>
          <w:tcPr>
            <w:tcW w:type="dxa" w:w="4320"/>
          </w:tcPr>
          <w:p>
            <w:r>
              <w:t>Missing or invalid authentication credentials.</w:t>
            </w:r>
          </w:p>
        </w:tc>
      </w:tr>
      <w:tr>
        <w:tc>
          <w:tcPr>
            <w:tcW w:type="dxa" w:w="4320"/>
          </w:tcPr>
          <w:p>
            <w:r>
              <w:t>403 Forbidden</w:t>
            </w:r>
          </w:p>
        </w:tc>
        <w:tc>
          <w:tcPr>
            <w:tcW w:type="dxa" w:w="4320"/>
          </w:tcPr>
          <w:p>
            <w:r>
              <w:t>Valid credentials but insufficient permissions for the requested action.</w:t>
            </w:r>
          </w:p>
        </w:tc>
      </w:tr>
      <w:tr>
        <w:tc>
          <w:tcPr>
            <w:tcW w:type="dxa" w:w="4320"/>
          </w:tcPr>
          <w:p>
            <w:r>
              <w:t>404 Not Found</w:t>
            </w:r>
          </w:p>
        </w:tc>
        <w:tc>
          <w:tcPr>
            <w:tcW w:type="dxa" w:w="4320"/>
          </w:tcPr>
          <w:p>
            <w:r>
              <w:t>Resource does not exist or the caller lacks permission to see it.</w:t>
            </w:r>
          </w:p>
        </w:tc>
      </w:tr>
      <w:tr>
        <w:tc>
          <w:tcPr>
            <w:tcW w:type="dxa" w:w="4320"/>
          </w:tcPr>
          <w:p>
            <w:r>
              <w:t>409 Conflict</w:t>
            </w:r>
          </w:p>
        </w:tc>
        <w:tc>
          <w:tcPr>
            <w:tcW w:type="dxa" w:w="4320"/>
          </w:tcPr>
          <w:p>
            <w:r>
              <w:t>Request conflicts with current state (e.g., duplicate email on registration).</w:t>
            </w:r>
          </w:p>
        </w:tc>
      </w:tr>
      <w:tr>
        <w:tc>
          <w:tcPr>
            <w:tcW w:type="dxa" w:w="4320"/>
          </w:tcPr>
          <w:p>
            <w:r>
              <w:t>422 Unprocessable Entity</w:t>
            </w:r>
          </w:p>
        </w:tc>
        <w:tc>
          <w:tcPr>
            <w:tcW w:type="dxa" w:w="4320"/>
          </w:tcPr>
          <w:p>
            <w:r>
              <w:t>Request is syntactically valid but semantically incorrect (e.g., negative price).</w:t>
            </w:r>
          </w:p>
        </w:tc>
      </w:tr>
      <w:tr>
        <w:tc>
          <w:tcPr>
            <w:tcW w:type="dxa" w:w="4320"/>
          </w:tcPr>
          <w:p>
            <w:r>
              <w:t>500 Internal Server Error</w:t>
            </w:r>
          </w:p>
        </w:tc>
        <w:tc>
          <w:tcPr>
            <w:tcW w:type="dxa" w:w="4320"/>
          </w:tcPr>
          <w:p>
            <w:r>
              <w:t>Unexpected server-side failure. Correlate with request_id for debugging.</w:t>
            </w:r>
          </w:p>
        </w:tc>
      </w:tr>
    </w:tbl>
    <w:p>
      <w:pPr>
        <w:pStyle w:val="Heading1"/>
      </w:pPr>
      <w:r>
        <w:t>4. Pagination</w:t>
      </w:r>
    </w:p>
    <w:p>
      <w:r>
        <w:t>All list endpoints must support cursor-based pagination. Offset-based pagination is prohibited due to performance degradation on large datasets.</w:t>
      </w:r>
    </w:p>
    <w:p>
      <w:r>
        <w:t>Query parameters:</w:t>
      </w:r>
    </w:p>
    <w:p>
      <w:pPr>
        <w:pStyle w:val="ListBullet"/>
      </w:pPr>
      <w:r>
        <w:t>?cursor=&lt;opaque_string&gt; — Position marker from the previous response</w:t>
      </w:r>
    </w:p>
    <w:p>
      <w:pPr>
        <w:pStyle w:val="ListBullet"/>
      </w:pPr>
      <w:r>
        <w:t>?limit=&lt;int&gt; — Number of items per page (default 25, max 100)</w:t>
      </w:r>
    </w:p>
    <w:p>
      <w:r>
        <w:t>Response envelope:</w:t>
      </w:r>
    </w:p>
    <w:p>
      <w:r>
        <w:rPr>
          <w:rFonts w:ascii="Courier New" w:hAnsi="Courier New"/>
          <w:sz w:val="18"/>
        </w:rPr>
        <w:t>{</w:t>
        <w:br/>
        <w:t xml:space="preserve">  "data": [...],</w:t>
        <w:br/>
        <w:t xml:space="preserve">  "pagination": {</w:t>
        <w:br/>
        <w:t xml:space="preserve">    "next_cursor": "eyJpZCI6IjEyMyJ9",</w:t>
        <w:br/>
        <w:t xml:space="preserve">    "has_more": true</w:t>
        <w:br/>
        <w:t xml:space="preserve">  }</w:t>
        <w:br/>
        <w:t>}</w:t>
      </w:r>
    </w:p>
    <w:p>
      <w:pPr>
        <w:pStyle w:val="Heading1"/>
      </w:pPr>
      <w:r>
        <w:t>5. Versioning</w:t>
      </w:r>
    </w:p>
    <w:p>
      <w:r>
        <w:t>API versions use a URL prefix strategy:</w:t>
      </w:r>
    </w:p>
    <w:p>
      <w:pPr>
        <w:pStyle w:val="ListBullet"/>
      </w:pPr>
      <w:r>
        <w:t>/v1/products — Current stable version</w:t>
      </w:r>
    </w:p>
    <w:p>
      <w:pPr>
        <w:pStyle w:val="ListBullet"/>
      </w:pPr>
      <w:r>
        <w:t>/v2/products — Next version (breaking changes)</w:t>
      </w:r>
    </w:p>
    <w:p>
      <w:pPr>
        <w:pStyle w:val="ListBullet"/>
      </w:pPr>
      <w:r>
        <w:t>Versions are integers only, never semver in the URL</w:t>
      </w:r>
    </w:p>
    <w:p>
      <w:pPr>
        <w:pStyle w:val="ListBullet"/>
      </w:pPr>
      <w:r>
        <w:t>Deprecation notice: minimum 6-month sunset period with Sunset header</w:t>
      </w:r>
    </w:p>
    <w:p>
      <w:pPr>
        <w:pStyle w:val="Heading1"/>
      </w:pPr>
      <w:r>
        <w:t>6. Authentication</w:t>
      </w:r>
    </w:p>
    <w:p>
      <w:r>
        <w:t>Two authentication mechanisms are supported:</w:t>
      </w:r>
    </w:p>
    <w:p>
      <w:pPr>
        <w:pStyle w:val="Heading2"/>
      </w:pPr>
      <w:r>
        <w:t>6.1 Bearer JWT</w:t>
      </w:r>
    </w:p>
    <w:p>
      <w:r>
        <w:t>Authorization: Bearer eyJhbGciOiJSUzI1NiIs...</w:t>
      </w:r>
    </w:p>
    <w:p>
      <w:r>
        <w:t>JWTs are issued by the Auth Service with RS256 signing. Access tokens expire after 15 minutes; refresh tokens after 7 days. Token claims include sub (user UUID), role, and exp.</w:t>
      </w:r>
    </w:p>
    <w:p>
      <w:pPr>
        <w:pStyle w:val="Heading2"/>
      </w:pPr>
      <w:r>
        <w:t>6.2 API Key</w:t>
      </w:r>
    </w:p>
    <w:p>
      <w:r>
        <w:t>X-API-Key: sk_live_abc123def456</w:t>
      </w:r>
    </w:p>
    <w:p>
      <w:r>
        <w:t>API keys are used for service-to-service communication. Keys are scoped to specific services and rotated every 90 days. Store keys in Vault, never in environment variables or config files.</w:t>
      </w:r>
    </w:p>
    <w:p>
      <w:pPr>
        <w:pStyle w:val="Heading1"/>
      </w:pPr>
      <w:r>
        <w:t>7. Rate Limiting</w:t>
      </w:r>
    </w:p>
    <w:p>
      <w:r>
        <w:t>All endpoints enforce rate limiting. Exceeding the limit returns 429 Too Many Requests with the following headers:</w:t>
      </w:r>
    </w:p>
    <w:p>
      <w:pPr>
        <w:pStyle w:val="ListBullet"/>
      </w:pPr>
      <w:r>
        <w:t>Retry-After: &lt;seconds&gt; — Time to wait before retrying</w:t>
      </w:r>
    </w:p>
    <w:p>
      <w:pPr>
        <w:pStyle w:val="ListBullet"/>
      </w:pPr>
      <w:r>
        <w:t>X-RateLimit-Limit: 1000 — Maximum requests per window</w:t>
      </w:r>
    </w:p>
    <w:p>
      <w:pPr>
        <w:pStyle w:val="ListBullet"/>
      </w:pPr>
      <w:r>
        <w:t>X-RateLimit-Remaining: 42 — Remaining requests in current window</w:t>
      </w:r>
    </w:p>
    <w:p>
      <w:pPr>
        <w:pStyle w:val="ListBullet"/>
      </w:pPr>
      <w:r>
        <w:t>X-RateLimit-Reset: 1672531200 — Unix timestamp when the window resets</w:t>
      </w:r>
    </w:p>
    <w:p>
      <w:r>
        <w:t>Default limits: 1000 requests per minute for authenticated users, 100 per minute for unauthenticated. Bulk endpoints (/batch/*) have a separate limit of 50 requests per minute.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