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RustRAG DOCX smoke fixture</w:t>
      </w:r>
    </w:p>
    <w:p>
      <w:r>
        <w:t>This DOCX validates canonical MIME inference and text extraction for Office uploads.</w:t>
      </w:r>
    </w:p>
    <w:p>
      <w:r>
        <w:t>Expected downstream states: text ready, vector ready, graph ready.</w:t>
      </w:r>
    </w:p>
    <w:p>
      <w:r>
        <w:t>Generated automatically on 2026-03-28.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-smok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