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left"/>
      </w:pPr>
      <w:r>
        <w:rPr>
          <w:rFonts w:ascii="Arial" w:cs="Arial" w:eastAsia="Arial" w:hAnsi="Arial"/>
          <w:b/>
          <w:bCs/>
          <w:caps/>
          <w:color w:val="0F7B72"/>
          <w:sz w:val="20"/>
          <w:szCs w:val="20"/>
        </w:rPr>
        <w:t xml:space="preserve">STRATEGY CONSULTING</w:t>
      </w:r>
    </w:p>
    <w:p>
      <w:pPr>
        <w:spacing w:after="200" w:before="0"/>
        <w:jc w:val="left"/>
      </w:pPr>
      <w:r>
        <w:rPr>
          <w:rFonts w:ascii="Arial" w:cs="Arial" w:eastAsia="Arial" w:hAnsi="Arial"/>
          <w:b/>
          <w:bCs/>
          <w:color w:val="1B2A4A"/>
          <w:sz w:val="64"/>
          <w:szCs w:val="64"/>
        </w:rPr>
        <w:t xml:space="preserve">MaintenanceWise</w:t>
      </w:r>
    </w:p>
    <w:p>
      <w:pPr>
        <w:spacing w:after="80" w:before="0"/>
        <w:jc w:val="left"/>
      </w:pPr>
      <w:r>
        <w:rPr>
          <w:rFonts w:ascii="Arial" w:cs="Arial" w:eastAsia="Arial" w:hAnsi="Arial"/>
          <w:b w:val="false"/>
          <w:bCs w:val="false"/>
          <w:color w:val="0F7B72"/>
          <w:sz w:val="40"/>
          <w:szCs w:val="40"/>
        </w:rPr>
        <w:t xml:space="preserve">Strategic Action Plan</w:t>
      </w:r>
    </w:p>
    <w:p>
      <w:pPr>
        <w:pBdr>
          <w:bottom w:val="single" w:color="0F7B72" w:sz="6" w:space="10"/>
        </w:pBdr>
        <w:spacing w:after="600" w:before="0"/>
      </w:pPr>
      <w:r>
        <w:rPr>
          <w:rFonts w:ascii="Arial" w:cs="Arial" w:eastAsia="Arial" w:hAnsi="Arial"/>
          <w:color w:val="888888"/>
          <w:sz w:val="22"/>
          <w:szCs w:val="22"/>
        </w:rPr>
        <w:t xml:space="preserve">PropCare-AI v2  ·  April 2, 2026</w:t>
      </w:r>
    </w:p>
    <w:p>
      <w:pPr>
        <w:spacing w:after="80" w:before="400"/>
      </w:pPr>
      <w:r>
        <w:rPr>
          <w:rFonts w:ascii="Arial" w:cs="Arial" w:eastAsia="Arial" w:hAnsi="Arial"/>
          <w:b/>
          <w:bCs/>
          <w:color w:val="1B2A4A"/>
          <w:sz w:val="32"/>
          <w:szCs w:val="32"/>
        </w:rPr>
        <w:t xml:space="preserve">Executive Summary</w:t>
      </w:r>
    </w:p>
    <w:p>
      <w:pPr>
        <w:spacing w:after="120" w:before="60"/>
      </w:pPr>
      <w:r>
        <w:rPr>
          <w:rFonts w:ascii="Arial" w:cs="Arial" w:eastAsia="Arial" w:hAnsi="Arial"/>
          <w:color w:val="1F2937"/>
          <w:sz w:val="22"/>
          <w:szCs w:val="22"/>
        </w:rPr>
        <w:t xml:space="preserve">You have built a genuinely sophisticated AI maintenance triage system in 30 days. The deterministic-first architecture, SOP-grounded troubleshooting, and citation-validated steps represent real engineering depth. But the competitive landscape shifted while you were building: AppFolio's Realm-X Maintenance Performer is now live for all AppFolio customers, doing intake, triage, image analysis, and work order creation. The window for a standalone replacement is narrowing.</w:t>
      </w:r>
    </w:p>
    <w:p>
      <w:pPr>
        <w:spacing w:after="120" w:before="60"/>
      </w:pPr>
      <w:r>
        <w:rPr>
          <w:rFonts w:ascii="Arial" w:cs="Arial" w:eastAsia="Arial" w:hAnsi="Arial"/>
          <w:color w:val="1F2937"/>
          <w:sz w:val="22"/>
          <w:szCs w:val="22"/>
        </w:rPr>
        <w:t xml:space="preserve">This plan gives you an opinionated, prioritised path forward — covering what to build next, who to sell to, how to position against incumbents, and what adjacent opportunities exist if the residential PM market proves too crowded.</w:t>
      </w:r>
    </w:p>
    <w:p>
      <w:pPr>
        <w:spacing w:after="80" w:before="240"/>
      </w:pPr>
      <w:r>
        <w:rPr>
          <w:rFonts w:ascii="Arial" w:cs="Arial" w:eastAsia="Arial" w:hAnsi="Arial"/>
          <w:b/>
          <w:bCs/>
          <w:color w:val="1F2937"/>
          <w:sz w:val="22"/>
          <w:szCs w:val="22"/>
        </w:rPr>
        <w:t xml:space="preserve">Three things are true simultaneously:</w:t>
      </w:r>
    </w:p>
    <w:p>
      <w:pPr>
        <w:pStyle w:val="ListParagraph"/>
        <w:numPr>
          <w:ilvl w:val="0"/>
          <w:numId w:val="2"/>
        </w:numPr>
        <w:spacing w:after="40" w:before="40"/>
      </w:pPr>
      <w:r>
        <w:rPr>
          <w:rFonts w:ascii="Arial" w:cs="Arial" w:eastAsia="Arial" w:hAnsi="Arial"/>
          <w:b w:val="false"/>
          <w:bCs w:val="false"/>
          <w:color w:val="1F2937"/>
          <w:sz w:val="22"/>
          <w:szCs w:val="22"/>
        </w:rPr>
        <w:t xml:space="preserve">Your core technology is differentiated — SOP-grounded guided troubleshooting that prevents work orders (not just digitises them) is not what incumbents do.</w:t>
      </w:r>
    </w:p>
    <w:p>
      <w:pPr>
        <w:pStyle w:val="ListParagraph"/>
        <w:numPr>
          <w:ilvl w:val="0"/>
          <w:numId w:val="2"/>
        </w:numPr>
        <w:spacing w:after="40" w:before="40"/>
      </w:pPr>
      <w:r>
        <w:rPr>
          <w:rFonts w:ascii="Arial" w:cs="Arial" w:eastAsia="Arial" w:hAnsi="Arial"/>
          <w:b w:val="false"/>
          <w:bCs w:val="false"/>
          <w:color w:val="1F2937"/>
          <w:sz w:val="22"/>
          <w:szCs w:val="22"/>
        </w:rPr>
        <w:t xml:space="preserve">Phase 3A is still your only blocker to any real-world usage, and that must ship before anything else.</w:t>
      </w:r>
    </w:p>
    <w:p>
      <w:pPr>
        <w:pStyle w:val="ListParagraph"/>
        <w:numPr>
          <w:ilvl w:val="0"/>
          <w:numId w:val="2"/>
        </w:numPr>
        <w:spacing w:after="40" w:before="40"/>
      </w:pPr>
      <w:r>
        <w:rPr>
          <w:rFonts w:ascii="Arial" w:cs="Arial" w:eastAsia="Arial" w:hAnsi="Arial"/>
          <w:b w:val="false"/>
          <w:bCs w:val="false"/>
          <w:color w:val="1F2937"/>
          <w:sz w:val="22"/>
          <w:szCs w:val="22"/>
        </w:rPr>
        <w:t xml:space="preserve">The SOP feedback loop (Phase 5B) is the only sustainable moat. Everything else can be replicated by a well-funded competitor inside six months.</w:t>
      </w:r>
    </w:p>
    <w:p>
      <w:r>
        <w:br w:type="page"/>
      </w:r>
    </w:p>
    <w:p>
      <w:pPr>
        <w:pStyle w:val="Heading1"/>
      </w:pPr>
      <w:r>
        <w:rPr>
          <w:rFonts w:ascii="Arial" w:cs="Arial" w:eastAsia="Arial" w:hAnsi="Arial"/>
          <w:b/>
          <w:bCs/>
          <w:color w:val="1B2A4A"/>
          <w:sz w:val="40"/>
          <w:szCs w:val="40"/>
        </w:rPr>
        <w:t xml:space="preserve">Part 1: Competitive Positioning</w:t>
      </w:r>
    </w:p>
    <w:p>
      <w:pPr>
        <w:pBdr>
          <w:bottom w:val="single" w:color="0F7B72" w:sz="4" w:space="6"/>
        </w:pBdr>
        <w:spacing w:after="100" w:before="360"/>
      </w:pPr>
      <w:r>
        <w:rPr>
          <w:rFonts w:ascii="Arial" w:cs="Arial" w:eastAsia="Arial" w:hAnsi="Arial"/>
          <w:b/>
          <w:bCs/>
          <w:color w:val="0F7B72"/>
          <w:sz w:val="28"/>
          <w:szCs w:val="28"/>
        </w:rPr>
        <w:t xml:space="preserve">1.1  The Landscape Has Shifted</w:t>
      </w:r>
    </w:p>
    <w:p>
      <w:pPr>
        <w:spacing w:after="120" w:before="60"/>
      </w:pPr>
      <w:r>
        <w:rPr>
          <w:rFonts w:ascii="Arial" w:cs="Arial" w:eastAsia="Arial" w:hAnsi="Arial"/>
          <w:color w:val="1F2937"/>
          <w:sz w:val="22"/>
          <w:szCs w:val="22"/>
        </w:rPr>
        <w:t xml:space="preserve">The residential property management software market is worth $3.6–6.4 billion globally and growing at 6–9% annually. That sounds attractive. The problem is that the two largest platforms — AppFolio and Buildium — both launched AI maintenance tools in 2025, and they are distributing them as included features to existing customer bases numbering in the hundreds of thousands of units.</w:t>
      </w:r>
    </w:p>
    <w:p>
      <w:pPr>
        <w:spacing w:after="120" w:before="60"/>
      </w:pPr>
      <w:r>
        <w:rPr>
          <w:rFonts w:ascii="Arial" w:cs="Arial" w:eastAsia="Arial" w:hAnsi="Arial"/>
          <w:color w:val="1F2937"/>
          <w:sz w:val="22"/>
          <w:szCs w:val="22"/>
        </w:rPr>
        <w:t xml:space="preserve">AppFolio's Realm-X Maintenance Performer is the most direct comparison. It does real-time tenant communication, image analysis for issue detection, follow-up question gathering, work order creation, and prioritised summaries to the property manager. Buildium's Lumina AI takes a similar approach. Both are available now, not roadmap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20"/>
              <w:bottom w:val="single" w:color="D97706" w:sz="6"/>
              <w:right w:val="single" w:color="D97706" w:sz="6"/>
            </w:tcBorders>
            <w:shd w:fill="FFF8E7" w:val="clear"/>
            <w:tcMar>
              <w:top w:type="dxa" w:w="120"/>
              <w:left w:type="dxa" w:w="200"/>
              <w:bottom w:type="dxa" w:w="120"/>
              <w:right w:type="dxa" w:w="200"/>
            </w:tcMar>
          </w:tcPr>
          <w:p>
            <w:pPr>
              <w:spacing w:after="60" w:before="0"/>
            </w:pPr>
            <w:r>
              <w:rPr>
                <w:rFonts w:ascii="Arial" w:cs="Arial" w:eastAsia="Arial" w:hAnsi="Arial"/>
                <w:b/>
                <w:bCs/>
                <w:color w:val="D97706"/>
                <w:sz w:val="20"/>
                <w:szCs w:val="20"/>
              </w:rPr>
              <w:t xml:space="preserve">⚠  Critical Insight</w:t>
            </w:r>
          </w:p>
          <w:p>
            <w:pPr>
              <w:spacing w:after="0" w:before="0"/>
            </w:pPr>
            <w:r>
              <w:rPr>
                <w:rFonts w:ascii="Arial" w:cs="Arial" w:eastAsia="Arial" w:hAnsi="Arial"/>
                <w:color w:val="1F2937"/>
                <w:sz w:val="20"/>
                <w:szCs w:val="20"/>
              </w:rPr>
              <w:t xml:space="preserve">AppFolio and Buildium are not direct competitors you'll pitch against in a sales conversation. They are platforms that your target customers (small-to-mid PMs) are already paying for. If an AppFolio customer turns on Realm-X for free, you need a compelling reason they would also pay for MaintenanceWise. That reason exists — but you must articulate it precisely.</w:t>
            </w:r>
          </w:p>
        </w:tc>
      </w:tr>
    </w:tbl>
    <w:p>
      <w:pPr>
        <w:spacing w:after="0" w:before="120"/>
      </w:pPr>
    </w:p>
    <w:p>
      <w:pPr>
        <w:pBdr>
          <w:bottom w:val="single" w:color="0F7B72" w:sz="4" w:space="6"/>
        </w:pBdr>
        <w:spacing w:after="100" w:before="360"/>
      </w:pPr>
      <w:r>
        <w:rPr>
          <w:rFonts w:ascii="Arial" w:cs="Arial" w:eastAsia="Arial" w:hAnsi="Arial"/>
          <w:b/>
          <w:bCs/>
          <w:color w:val="0F7B72"/>
          <w:sz w:val="28"/>
          <w:szCs w:val="28"/>
        </w:rPr>
        <w:t xml:space="preserve">1.2  Your Actual Differentiation</w:t>
      </w:r>
    </w:p>
    <w:p>
      <w:pPr>
        <w:spacing w:after="120" w:before="60"/>
      </w:pPr>
      <w:r>
        <w:rPr>
          <w:rFonts w:ascii="Arial" w:cs="Arial" w:eastAsia="Arial" w:hAnsi="Arial"/>
          <w:color w:val="1F2937"/>
          <w:sz w:val="22"/>
          <w:szCs w:val="22"/>
        </w:rPr>
        <w:t xml:space="preserve">The incumbents digitise and accelerate the work order lifecycle. MaintenanceWise is designed to eliminate work orders before they are created — through SOP-grounded guided troubleshooting that resolves the issue at the tenant level. That is a genuinely different value proposition, and it is not what Realm-X does.</w:t>
      </w:r>
    </w:p>
    <w:p>
      <w:pPr>
        <w:spacing w:after="120" w:before="60"/>
      </w:pPr>
      <w:r>
        <w:rPr>
          <w:rFonts w:ascii="Arial" w:cs="Arial" w:eastAsia="Arial" w:hAnsi="Arial"/>
          <w:color w:val="1F2937"/>
          <w:sz w:val="22"/>
          <w:szCs w:val="22"/>
        </w:rPr>
        <w:t xml:space="preserve">The table below maps the key capability differences: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Capability</w:t>
            </w:r>
          </w:p>
        </w:tc>
        <w:tc>
          <w:tcPr>
            <w:tcW w:type="dxa" w:w="58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AppFolio Realm-X / Buildium vs MaintenanceWise</w:t>
            </w:r>
          </w:p>
        </w:tc>
      </w:tr>
      <w:tr>
        <w:tc>
          <w:tcPr>
            <w:tcW w:type="dxa" w:w="3500"/>
            <w:tcBorders>
              <w:top w:val="single" w:color="C5D0E0" w:sz="1"/>
              <w:left w:val="single" w:color="C5D0E0" w:sz="1"/>
              <w:bottom w:val="single" w:color="C5D0E0" w:sz="1"/>
              <w:right w:val="single" w:color="C5D0E0"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AI-powered intake</w:t>
            </w:r>
          </w:p>
        </w:tc>
        <w:tc>
          <w:tcPr>
            <w:tcW w:type="dxa" w:w="5860"/>
            <w:tcBorders>
              <w:top w:val="single" w:color="C5D0E0" w:sz="1"/>
              <w:left w:val="single" w:color="C5D0E0" w:sz="1"/>
              <w:bottom w:val="single" w:color="C5D0E0" w:sz="1"/>
              <w:right w:val="single" w:color="C5D0E0"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All three do this. Table stakes.</w:t>
            </w:r>
          </w:p>
        </w:tc>
      </w:tr>
      <w:tr>
        <w:tc>
          <w:tcPr>
            <w:tcW w:type="dxa" w:w="3500"/>
            <w:tcBorders>
              <w:top w:val="single" w:color="C5D0E0" w:sz="1"/>
              <w:left w:val="single" w:color="C5D0E0" w:sz="1"/>
              <w:bottom w:val="single" w:color="C5D0E0" w:sz="1"/>
              <w:right w:val="single" w:color="C5D0E0" w:sz="1"/>
            </w:tcBorders>
            <w:shd w:fill="EEF2F7" w:val="clear"/>
            <w:tcMar>
              <w:top w:type="dxa" w:w="80"/>
              <w:left w:type="dxa" w:w="140"/>
              <w:bottom w:type="dxa" w:w="80"/>
              <w:right w:type="dxa" w:w="140"/>
            </w:tcMar>
          </w:tcPr>
          <w:p>
            <w:r>
              <w:rPr>
                <w:rFonts w:ascii="Arial" w:cs="Arial" w:eastAsia="Arial" w:hAnsi="Arial"/>
                <w:b w:val="false"/>
                <w:bCs w:val="false"/>
                <w:color w:val="1F2937"/>
                <w:sz w:val="20"/>
                <w:szCs w:val="20"/>
              </w:rPr>
              <w:t xml:space="preserve">Image analysis</w:t>
            </w:r>
          </w:p>
        </w:tc>
        <w:tc>
          <w:tcPr>
            <w:tcW w:type="dxa" w:w="5860"/>
            <w:tcBorders>
              <w:top w:val="single" w:color="C5D0E0" w:sz="1"/>
              <w:left w:val="single" w:color="C5D0E0" w:sz="1"/>
              <w:bottom w:val="single" w:color="C5D0E0" w:sz="1"/>
              <w:right w:val="single" w:color="C5D0E0" w:sz="1"/>
            </w:tcBorders>
            <w:shd w:fill="EEF2F7" w:val="clear"/>
            <w:tcMar>
              <w:top w:type="dxa" w:w="80"/>
              <w:left w:type="dxa" w:w="140"/>
              <w:bottom w:type="dxa" w:w="80"/>
              <w:right w:type="dxa" w:w="140"/>
            </w:tcMar>
          </w:tcPr>
          <w:p>
            <w:r>
              <w:rPr>
                <w:rFonts w:ascii="Arial" w:cs="Arial" w:eastAsia="Arial" w:hAnsi="Arial"/>
                <w:b w:val="false"/>
                <w:bCs w:val="false"/>
                <w:color w:val="1F2937"/>
                <w:sz w:val="20"/>
                <w:szCs w:val="20"/>
              </w:rPr>
              <w:t xml:space="preserve">AppFolio. Not yet a MaintenanceWise feature.</w:t>
            </w:r>
          </w:p>
        </w:tc>
      </w:tr>
      <w:tr>
        <w:tc>
          <w:tcPr>
            <w:tcW w:type="dxa" w:w="3500"/>
            <w:tcBorders>
              <w:top w:val="single" w:color="C5D0E0" w:sz="1"/>
              <w:left w:val="single" w:color="C5D0E0" w:sz="1"/>
              <w:bottom w:val="single" w:color="C5D0E0" w:sz="1"/>
              <w:right w:val="single" w:color="C5D0E0"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Issue classification</w:t>
            </w:r>
          </w:p>
        </w:tc>
        <w:tc>
          <w:tcPr>
            <w:tcW w:type="dxa" w:w="5860"/>
            <w:tcBorders>
              <w:top w:val="single" w:color="C5D0E0" w:sz="1"/>
              <w:left w:val="single" w:color="C5D0E0" w:sz="1"/>
              <w:bottom w:val="single" w:color="C5D0E0" w:sz="1"/>
              <w:right w:val="single" w:color="C5D0E0"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All three. Table stakes.</w:t>
            </w:r>
          </w:p>
        </w:tc>
      </w:tr>
      <w:tr>
        <w:tc>
          <w:tcPr>
            <w:tcW w:type="dxa" w:w="3500"/>
            <w:tcBorders>
              <w:top w:val="single" w:color="C5D0E0" w:sz="1"/>
              <w:left w:val="single" w:color="C5D0E0" w:sz="1"/>
              <w:bottom w:val="single" w:color="C5D0E0" w:sz="1"/>
              <w:right w:val="single" w:color="C5D0E0" w:sz="1"/>
            </w:tcBorders>
            <w:shd w:fill="EEF2F7" w:val="clear"/>
            <w:tcMar>
              <w:top w:type="dxa" w:w="80"/>
              <w:left w:type="dxa" w:w="140"/>
              <w:bottom w:type="dxa" w:w="80"/>
              <w:right w:type="dxa" w:w="140"/>
            </w:tcMar>
          </w:tcPr>
          <w:p>
            <w:r>
              <w:rPr>
                <w:rFonts w:ascii="Arial" w:cs="Arial" w:eastAsia="Arial" w:hAnsi="Arial"/>
                <w:b w:val="false"/>
                <w:bCs w:val="false"/>
                <w:color w:val="1F2937"/>
                <w:sz w:val="20"/>
                <w:szCs w:val="20"/>
              </w:rPr>
              <w:t xml:space="preserve">Work order creation</w:t>
            </w:r>
          </w:p>
        </w:tc>
        <w:tc>
          <w:tcPr>
            <w:tcW w:type="dxa" w:w="5860"/>
            <w:tcBorders>
              <w:top w:val="single" w:color="C5D0E0" w:sz="1"/>
              <w:left w:val="single" w:color="C5D0E0" w:sz="1"/>
              <w:bottom w:val="single" w:color="C5D0E0" w:sz="1"/>
              <w:right w:val="single" w:color="C5D0E0" w:sz="1"/>
            </w:tcBorders>
            <w:shd w:fill="EEF2F7" w:val="clear"/>
            <w:tcMar>
              <w:top w:type="dxa" w:w="80"/>
              <w:left w:type="dxa" w:w="140"/>
              <w:bottom w:type="dxa" w:w="80"/>
              <w:right w:type="dxa" w:w="140"/>
            </w:tcMar>
          </w:tcPr>
          <w:p>
            <w:r>
              <w:rPr>
                <w:rFonts w:ascii="Arial" w:cs="Arial" w:eastAsia="Arial" w:hAnsi="Arial"/>
                <w:b w:val="false"/>
                <w:bCs w:val="false"/>
                <w:color w:val="1F2937"/>
                <w:sz w:val="20"/>
                <w:szCs w:val="20"/>
              </w:rPr>
              <w:t xml:space="preserve">AppFolio / Buildium auto-create. MaintenanceWise prevents.</w:t>
            </w:r>
          </w:p>
        </w:tc>
      </w:tr>
      <w:tr>
        <w:tc>
          <w:tcPr>
            <w:tcW w:type="dxa" w:w="3500"/>
            <w:tcBorders>
              <w:top w:val="single" w:color="C5D0E0" w:sz="1"/>
              <w:left w:val="single" w:color="C5D0E0" w:sz="1"/>
              <w:bottom w:val="single" w:color="C5D0E0" w:sz="1"/>
              <w:right w:val="single" w:color="C5D0E0"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SOP-grounded steps</w:t>
            </w:r>
          </w:p>
        </w:tc>
        <w:tc>
          <w:tcPr>
            <w:tcW w:type="dxa" w:w="5860"/>
            <w:tcBorders>
              <w:top w:val="single" w:color="C5D0E0" w:sz="1"/>
              <w:left w:val="single" w:color="C5D0E0" w:sz="1"/>
              <w:bottom w:val="single" w:color="C5D0E0" w:sz="1"/>
              <w:right w:val="single" w:color="C5D0E0"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Not documented in any incumbent. MaintenanceWise unique.</w:t>
            </w:r>
          </w:p>
        </w:tc>
      </w:tr>
      <w:tr>
        <w:tc>
          <w:tcPr>
            <w:tcW w:type="dxa" w:w="3500"/>
            <w:tcBorders>
              <w:top w:val="single" w:color="C5D0E0" w:sz="1"/>
              <w:left w:val="single" w:color="C5D0E0" w:sz="1"/>
              <w:bottom w:val="single" w:color="C5D0E0" w:sz="1"/>
              <w:right w:val="single" w:color="C5D0E0" w:sz="1"/>
            </w:tcBorders>
            <w:shd w:fill="EEF2F7" w:val="clear"/>
            <w:tcMar>
              <w:top w:type="dxa" w:w="80"/>
              <w:left w:type="dxa" w:w="140"/>
              <w:bottom w:type="dxa" w:w="80"/>
              <w:right w:type="dxa" w:w="140"/>
            </w:tcMar>
          </w:tcPr>
          <w:p>
            <w:r>
              <w:rPr>
                <w:rFonts w:ascii="Arial" w:cs="Arial" w:eastAsia="Arial" w:hAnsi="Arial"/>
                <w:b w:val="false"/>
                <w:bCs w:val="false"/>
                <w:color w:val="1F2937"/>
                <w:sz w:val="20"/>
                <w:szCs w:val="20"/>
              </w:rPr>
              <w:t xml:space="preserve">Citation-validated guidance</w:t>
            </w:r>
          </w:p>
        </w:tc>
        <w:tc>
          <w:tcPr>
            <w:tcW w:type="dxa" w:w="5860"/>
            <w:tcBorders>
              <w:top w:val="single" w:color="C5D0E0" w:sz="1"/>
              <w:left w:val="single" w:color="C5D0E0" w:sz="1"/>
              <w:bottom w:val="single" w:color="C5D0E0" w:sz="1"/>
              <w:right w:val="single" w:color="C5D0E0" w:sz="1"/>
            </w:tcBorders>
            <w:shd w:fill="EEF2F7" w:val="clear"/>
            <w:tcMar>
              <w:top w:type="dxa" w:w="80"/>
              <w:left w:type="dxa" w:w="140"/>
              <w:bottom w:type="dxa" w:w="80"/>
              <w:right w:type="dxa" w:w="140"/>
            </w:tcMar>
          </w:tcPr>
          <w:p>
            <w:r>
              <w:rPr>
                <w:rFonts w:ascii="Arial" w:cs="Arial" w:eastAsia="Arial" w:hAnsi="Arial"/>
                <w:b w:val="false"/>
                <w:bCs w:val="false"/>
                <w:color w:val="1F2937"/>
                <w:sz w:val="20"/>
                <w:szCs w:val="20"/>
              </w:rPr>
              <w:t xml:space="preserve">Not present in incumbents. MaintenanceWise unique.</w:t>
            </w:r>
          </w:p>
        </w:tc>
      </w:tr>
      <w:tr>
        <w:tc>
          <w:tcPr>
            <w:tcW w:type="dxa" w:w="3500"/>
            <w:tcBorders>
              <w:top w:val="single" w:color="C5D0E0" w:sz="1"/>
              <w:left w:val="single" w:color="C5D0E0" w:sz="1"/>
              <w:bottom w:val="single" w:color="C5D0E0" w:sz="1"/>
              <w:right w:val="single" w:color="C5D0E0"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Self-resolution rate tracking</w:t>
            </w:r>
          </w:p>
        </w:tc>
        <w:tc>
          <w:tcPr>
            <w:tcW w:type="dxa" w:w="5860"/>
            <w:tcBorders>
              <w:top w:val="single" w:color="C5D0E0" w:sz="1"/>
              <w:left w:val="single" w:color="C5D0E0" w:sz="1"/>
              <w:bottom w:val="single" w:color="C5D0E0" w:sz="1"/>
              <w:right w:val="single" w:color="C5D0E0"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Not a metric incumbents surface. MaintenanceWise KPI.</w:t>
            </w:r>
          </w:p>
        </w:tc>
      </w:tr>
      <w:tr>
        <w:tc>
          <w:tcPr>
            <w:tcW w:type="dxa" w:w="3500"/>
            <w:tcBorders>
              <w:top w:val="single" w:color="C5D0E0" w:sz="1"/>
              <w:left w:val="single" w:color="C5D0E0" w:sz="1"/>
              <w:bottom w:val="single" w:color="C5D0E0" w:sz="1"/>
              <w:right w:val="single" w:color="C5D0E0" w:sz="1"/>
            </w:tcBorders>
            <w:shd w:fill="EEF2F7" w:val="clear"/>
            <w:tcMar>
              <w:top w:type="dxa" w:w="80"/>
              <w:left w:type="dxa" w:w="140"/>
              <w:bottom w:type="dxa" w:w="80"/>
              <w:right w:type="dxa" w:w="140"/>
            </w:tcMar>
          </w:tcPr>
          <w:p>
            <w:r>
              <w:rPr>
                <w:rFonts w:ascii="Arial" w:cs="Arial" w:eastAsia="Arial" w:hAnsi="Arial"/>
                <w:b w:val="false"/>
                <w:bCs w:val="false"/>
                <w:color w:val="1F2937"/>
                <w:sz w:val="20"/>
                <w:szCs w:val="20"/>
              </w:rPr>
              <w:t xml:space="preserve">SOP feedback loop</w:t>
            </w:r>
          </w:p>
        </w:tc>
        <w:tc>
          <w:tcPr>
            <w:tcW w:type="dxa" w:w="5860"/>
            <w:tcBorders>
              <w:top w:val="single" w:color="C5D0E0" w:sz="1"/>
              <w:left w:val="single" w:color="C5D0E0" w:sz="1"/>
              <w:bottom w:val="single" w:color="C5D0E0" w:sz="1"/>
              <w:right w:val="single" w:color="C5D0E0" w:sz="1"/>
            </w:tcBorders>
            <w:shd w:fill="EEF2F7" w:val="clear"/>
            <w:tcMar>
              <w:top w:type="dxa" w:w="80"/>
              <w:left w:type="dxa" w:w="140"/>
              <w:bottom w:type="dxa" w:w="80"/>
              <w:right w:type="dxa" w:w="140"/>
            </w:tcMar>
          </w:tcPr>
          <w:p>
            <w:r>
              <w:rPr>
                <w:rFonts w:ascii="Arial" w:cs="Arial" w:eastAsia="Arial" w:hAnsi="Arial"/>
                <w:b w:val="false"/>
                <w:bCs w:val="false"/>
                <w:color w:val="1F2937"/>
                <w:sz w:val="20"/>
                <w:szCs w:val="20"/>
              </w:rPr>
              <w:t xml:space="preserve">Not present. MaintenanceWise Phase 5B moat.</w:t>
            </w:r>
          </w:p>
        </w:tc>
      </w:tr>
      <w:tr>
        <w:tc>
          <w:tcPr>
            <w:tcW w:type="dxa" w:w="3500"/>
            <w:tcBorders>
              <w:top w:val="single" w:color="C5D0E0" w:sz="1"/>
              <w:left w:val="single" w:color="C5D0E0" w:sz="1"/>
              <w:bottom w:val="single" w:color="C5D0E0" w:sz="1"/>
              <w:right w:val="single" w:color="C5D0E0"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Pricing model</w:t>
            </w:r>
          </w:p>
        </w:tc>
        <w:tc>
          <w:tcPr>
            <w:tcW w:type="dxa" w:w="5860"/>
            <w:tcBorders>
              <w:top w:val="single" w:color="C5D0E0" w:sz="1"/>
              <w:left w:val="single" w:color="C5D0E0" w:sz="1"/>
              <w:bottom w:val="single" w:color="C5D0E0" w:sz="1"/>
              <w:right w:val="single" w:color="C5D0E0"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Bundled into platform fee. MaintenanceWise separate value.</w:t>
            </w:r>
          </w:p>
        </w:tc>
      </w:tr>
    </w:tbl>
    <w:p>
      <w:pPr>
        <w:spacing w:after="0" w:before="120"/>
      </w:pPr>
    </w:p>
    <w:p>
      <w:pPr>
        <w:pBdr>
          <w:bottom w:val="single" w:color="0F7B72" w:sz="4" w:space="6"/>
        </w:pBdr>
        <w:spacing w:after="100" w:before="360"/>
      </w:pPr>
      <w:r>
        <w:rPr>
          <w:rFonts w:ascii="Arial" w:cs="Arial" w:eastAsia="Arial" w:hAnsi="Arial"/>
          <w:b/>
          <w:bCs/>
          <w:color w:val="0F7B72"/>
          <w:sz w:val="28"/>
          <w:szCs w:val="28"/>
        </w:rPr>
        <w:t xml:space="preserve">1.3  The Positioning Statement</w:t>
      </w:r>
    </w:p>
    <w:p>
      <w:pPr>
        <w:spacing w:after="120" w:before="60"/>
      </w:pPr>
      <w:r>
        <w:rPr>
          <w:rFonts w:ascii="Arial" w:cs="Arial" w:eastAsia="Arial" w:hAnsi="Arial"/>
          <w:color w:val="1F2937"/>
          <w:sz w:val="22"/>
          <w:szCs w:val="22"/>
        </w:rPr>
        <w:t xml:space="preserve">Your current implied positioning — "AI maintenance triage system" — is too broad and maps directly onto what incumbents say. Here is a sharper alternative: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B72" w:sz="6"/>
              <w:left w:val="single" w:color="0F7B72" w:sz="20"/>
              <w:bottom w:val="single" w:color="0F7B72" w:sz="6"/>
              <w:right w:val="single" w:color="0F7B72" w:sz="6"/>
            </w:tcBorders>
            <w:shd w:fill="EEF2F7" w:val="clear"/>
            <w:tcMar>
              <w:top w:type="dxa" w:w="120"/>
              <w:left w:type="dxa" w:w="200"/>
              <w:bottom w:type="dxa" w:w="120"/>
              <w:right w:type="dxa" w:w="200"/>
            </w:tcMar>
          </w:tcPr>
          <w:p>
            <w:pPr>
              <w:spacing w:after="60" w:before="0"/>
            </w:pPr>
            <w:r>
              <w:rPr>
                <w:rFonts w:ascii="Arial" w:cs="Arial" w:eastAsia="Arial" w:hAnsi="Arial"/>
                <w:b/>
                <w:bCs/>
                <w:color w:val="0F7B72"/>
                <w:sz w:val="20"/>
                <w:szCs w:val="20"/>
              </w:rPr>
              <w:t xml:space="preserve">Recommended Positioning</w:t>
            </w:r>
          </w:p>
          <w:p>
            <w:pPr>
              <w:spacing w:after="0" w:before="0"/>
            </w:pPr>
            <w:r>
              <w:rPr>
                <w:rFonts w:ascii="Arial" w:cs="Arial" w:eastAsia="Arial" w:hAnsi="Arial"/>
                <w:color w:val="1F2937"/>
                <w:sz w:val="20"/>
                <w:szCs w:val="20"/>
              </w:rPr>
              <w:t xml:space="preserve">MaintenanceWise is the only maintenance tool that resolves issues before they become work orders. While every other platform helps you manage work orders faster, we eliminate the ones that were never necessary — saving property managers $150–300 per avoided dispatch call.</w:t>
            </w:r>
          </w:p>
        </w:tc>
      </w:tr>
    </w:tbl>
    <w:p>
      <w:pPr>
        <w:spacing w:after="0" w:before="120"/>
      </w:pPr>
    </w:p>
    <w:p>
      <w:pPr>
        <w:spacing w:after="120" w:before="60"/>
      </w:pPr>
      <w:r>
        <w:rPr>
          <w:rFonts w:ascii="Arial" w:cs="Arial" w:eastAsia="Arial" w:hAnsi="Arial"/>
          <w:color w:val="1F2937"/>
          <w:sz w:val="22"/>
          <w:szCs w:val="22"/>
        </w:rPr>
        <w:t xml:space="preserve">The one metric to own: self-resolution rate (% of submitted tickets resolved through guided troubleshooting without PM escalation or vendor dispatch). No incumbent tracks or surfaces this. If you can show a pilot PM that 35% of their maintenance tickets resolved themselves, that is your sales story — not feature lists.</w:t>
      </w:r>
    </w:p>
    <w:p>
      <w:pPr>
        <w:spacing w:after="120" w:before="60"/>
      </w:pPr>
      <w:r>
        <w:rPr>
          <w:rFonts w:ascii="Arial" w:cs="Arial" w:eastAsia="Arial" w:hAnsi="Arial"/>
          <w:color w:val="1F2937"/>
          <w:sz w:val="22"/>
          <w:szCs w:val="22"/>
        </w:rPr>
        <w:t xml:space="preserve">The 20% self-resolution target in your launch strategy is too conservative. Based on the categories you support (clogged drains, tripped breakers, appliance resets), industry data on preventable service calls runs at 30–50% for residential properties. Set your internal benchmark at 35% and exceed it — then lead with that number in every sales conversation.</w:t>
      </w:r>
    </w:p>
    <w:p>
      <w:pPr>
        <w:pBdr>
          <w:bottom w:val="single" w:color="0F7B72" w:sz="4" w:space="6"/>
        </w:pBdr>
        <w:spacing w:after="100" w:before="360"/>
      </w:pPr>
      <w:r>
        <w:rPr>
          <w:rFonts w:ascii="Arial" w:cs="Arial" w:eastAsia="Arial" w:hAnsi="Arial"/>
          <w:b/>
          <w:bCs/>
          <w:color w:val="0F7B72"/>
          <w:sz w:val="28"/>
          <w:szCs w:val="28"/>
        </w:rPr>
        <w:t xml:space="preserve">1.4  Integration vs. Standalone: A Decision You Must Make</w:t>
      </w:r>
    </w:p>
    <w:p>
      <w:pPr>
        <w:spacing w:after="120" w:before="60"/>
      </w:pPr>
      <w:r>
        <w:rPr>
          <w:rFonts w:ascii="Arial" w:cs="Arial" w:eastAsia="Arial" w:hAnsi="Arial"/>
          <w:color w:val="1F2937"/>
          <w:sz w:val="22"/>
          <w:szCs w:val="22"/>
        </w:rPr>
        <w:t xml:space="preserve">There is a strategic fork in the road that your roadmap does not address explicitly, and it will define your go-to-market motion for the next 12 months.</w:t>
      </w:r>
    </w:p>
    <w:p>
      <w:pPr>
        <w:spacing w:after="120" w:before="60"/>
      </w:pPr>
      <w:r>
        <w:rPr>
          <w:rFonts w:ascii="Arial" w:cs="Arial" w:eastAsia="Arial" w:hAnsi="Arial"/>
          <w:color w:val="1F2937"/>
          <w:sz w:val="22"/>
          <w:szCs w:val="22"/>
        </w:rPr>
        <w:t xml:space="preserve">Option A is to build MaintenanceWise as a standalone platform — your own PM dashboard, your own tenant portal, competing for the full relationship with the property manager. This requires them to switch or add a tool. Option B is to build MaintenanceWise as an integration layer — a plugin or API that sits on top of AppFolio, Buildium, or Propertyware and adds the SOP-grounded triage capability those platforms lack. In this model you are selling depth, not breadth.</w:t>
      </w:r>
    </w:p>
    <w:p>
      <w:pPr>
        <w:spacing w:after="120" w:before="60"/>
      </w:pPr>
      <w:r>
        <w:rPr>
          <w:rFonts w:ascii="Arial" w:cs="Arial" w:eastAsia="Arial" w:hAnsi="Arial"/>
          <w:color w:val="1F2937"/>
          <w:sz w:val="22"/>
          <w:szCs w:val="22"/>
        </w:rPr>
        <w:t xml:space="preserve">Option B has a shorter sales cycle, lower churn risk, and does not require the PM to abandon their existing platform. The downside is margin compression and dependency on third-party APIs. Option A has higher ceiling but requires the full PM workflow to be built and working — which you are still months away from. The honest recommendation: pursue Option A for your pilot (1–10 PMs), but begin scoping an AppFolio/Buildium integration as a parallel track so you have a fallback if standalone adoption proves slow.</w:t>
      </w:r>
    </w:p>
    <w:p>
      <w:r>
        <w:br w:type="page"/>
      </w:r>
    </w:p>
    <w:p>
      <w:pPr>
        <w:pStyle w:val="Heading1"/>
      </w:pPr>
      <w:r>
        <w:rPr>
          <w:rFonts w:ascii="Arial" w:cs="Arial" w:eastAsia="Arial" w:hAnsi="Arial"/>
          <w:b/>
          <w:bCs/>
          <w:color w:val="1B2A4A"/>
          <w:sz w:val="40"/>
          <w:szCs w:val="40"/>
        </w:rPr>
        <w:t xml:space="preserve">Part 2: Go-to-Market Strategy</w:t>
      </w:r>
    </w:p>
    <w:p>
      <w:pPr>
        <w:pBdr>
          <w:bottom w:val="single" w:color="0F7B72" w:sz="4" w:space="6"/>
        </w:pBdr>
        <w:spacing w:after="100" w:before="360"/>
      </w:pPr>
      <w:r>
        <w:rPr>
          <w:rFonts w:ascii="Arial" w:cs="Arial" w:eastAsia="Arial" w:hAnsi="Arial"/>
          <w:b/>
          <w:bCs/>
          <w:color w:val="0F7B72"/>
          <w:sz w:val="28"/>
          <w:szCs w:val="28"/>
        </w:rPr>
        <w:t xml:space="preserve">2.1  You Are Selling to the Wrong Buyer</w:t>
      </w:r>
    </w:p>
    <w:p>
      <w:pPr>
        <w:spacing w:after="120" w:before="60"/>
      </w:pPr>
      <w:r>
        <w:rPr>
          <w:rFonts w:ascii="Arial" w:cs="Arial" w:eastAsia="Arial" w:hAnsi="Arial"/>
          <w:color w:val="1F2937"/>
          <w:sz w:val="22"/>
          <w:szCs w:val="22"/>
        </w:rPr>
        <w:t xml:space="preserve">Your current launch plan targets a friendly property manager with 5–20 units. This is the right starting point for a product validation experiment. It is the wrong long-term Ideal Customer Profile (ICP), and the distinction matters now because it shapes how you build.</w:t>
      </w:r>
    </w:p>
    <w:p>
      <w:pPr>
        <w:spacing w:after="120" w:before="60"/>
      </w:pPr>
      <w:r>
        <w:rPr>
          <w:rFonts w:ascii="Arial" w:cs="Arial" w:eastAsia="Arial" w:hAnsi="Arial"/>
          <w:color w:val="1F2937"/>
          <w:sz w:val="22"/>
          <w:szCs w:val="22"/>
        </w:rPr>
        <w:t xml:space="preserve">A PM with 5–20 units is a small landlord. They typically work a second job, manage maintenance informally (lots of WhatsApp and phone calls), and are highly price-sensitive. Their total annual maintenance spend might be $8,000–25,000. They will give you honest feedback, but they are unlikely to pay $1/unit/month for software when they are already reluctant to use AppFolio. Churning one of these customers costs you 50% of your revenue.</w:t>
      </w:r>
    </w:p>
    <w:p>
      <w:pPr>
        <w:spacing w:after="120" w:before="60"/>
      </w:pPr>
      <w:r>
        <w:rPr>
          <w:rFonts w:ascii="Arial" w:cs="Arial" w:eastAsia="Arial" w:hAnsi="Arial"/>
          <w:color w:val="1F2937"/>
          <w:sz w:val="22"/>
          <w:szCs w:val="22"/>
        </w:rPr>
        <w:t xml:space="preserve">The buyer who creates a sustainable business is a property management company — a firm that manages 200–2,000 units across multiple owner clients, employs 3–15 people, and has a dedicated maintenance coordinator. This buyer is already paying $1.40–3/unit/month for AppFolio or Buildium. They have documented SOPs (or should have them). They care about staff efficiency because labour is their largest cost. And one sale to this buyer is worth 10–50x a small landlord sale.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B72" w:sz="6"/>
              <w:left w:val="single" w:color="0F7B72" w:sz="20"/>
              <w:bottom w:val="single" w:color="0F7B72" w:sz="6"/>
              <w:right w:val="single" w:color="0F7B72" w:sz="6"/>
            </w:tcBorders>
            <w:shd w:fill="EEF2F7" w:val="clear"/>
            <w:tcMar>
              <w:top w:type="dxa" w:w="120"/>
              <w:left w:type="dxa" w:w="200"/>
              <w:bottom w:type="dxa" w:w="120"/>
              <w:right w:type="dxa" w:w="200"/>
            </w:tcMar>
          </w:tcPr>
          <w:p>
            <w:pPr>
              <w:spacing w:after="60" w:before="0"/>
            </w:pPr>
            <w:r>
              <w:rPr>
                <w:rFonts w:ascii="Arial" w:cs="Arial" w:eastAsia="Arial" w:hAnsi="Arial"/>
                <w:b/>
                <w:bCs/>
                <w:color w:val="0F7B72"/>
                <w:sz w:val="20"/>
                <w:szCs w:val="20"/>
              </w:rPr>
              <w:t xml:space="preserve">ICP Recommendation</w:t>
            </w:r>
          </w:p>
          <w:p>
            <w:pPr>
              <w:spacing w:after="0" w:before="0"/>
            </w:pPr>
            <w:r>
              <w:rPr>
                <w:rFonts w:ascii="Arial" w:cs="Arial" w:eastAsia="Arial" w:hAnsi="Arial"/>
                <w:color w:val="1F2937"/>
                <w:sz w:val="20"/>
                <w:szCs w:val="20"/>
              </w:rPr>
              <w:t xml:space="preserve">Target property management companies managing 100–500 units across residential portfolios, with at least one dedicated maintenance coordinator. These buyers have an established software stack, existing SOP documentation, and a measurable cost per work order — all of which make your ROI argument concrete.</w:t>
            </w:r>
          </w:p>
        </w:tc>
      </w:tr>
    </w:tbl>
    <w:p>
      <w:pPr>
        <w:spacing w:after="0" w:before="120"/>
      </w:pPr>
    </w:p>
    <w:p>
      <w:pPr>
        <w:pBdr>
          <w:bottom w:val="single" w:color="0F7B72" w:sz="4" w:space="6"/>
        </w:pBdr>
        <w:spacing w:after="100" w:before="360"/>
      </w:pPr>
      <w:r>
        <w:rPr>
          <w:rFonts w:ascii="Arial" w:cs="Arial" w:eastAsia="Arial" w:hAnsi="Arial"/>
          <w:b/>
          <w:bCs/>
          <w:color w:val="0F7B72"/>
          <w:sz w:val="28"/>
          <w:szCs w:val="28"/>
        </w:rPr>
        <w:t xml:space="preserve">2.2  The ROI Argument You Should Be Making</w:t>
      </w:r>
    </w:p>
    <w:p>
      <w:pPr>
        <w:spacing w:after="120" w:before="60"/>
      </w:pPr>
      <w:r>
        <w:rPr>
          <w:rFonts w:ascii="Arial" w:cs="Arial" w:eastAsia="Arial" w:hAnsi="Arial"/>
          <w:color w:val="1F2937"/>
          <w:sz w:val="22"/>
          <w:szCs w:val="22"/>
        </w:rPr>
        <w:t xml:space="preserve">Right now your pitch is about saving time. That is weak. The pitch that opens enterprise budgets is cost avoidance with a specific number attached.</w:t>
      </w:r>
    </w:p>
    <w:p>
      <w:pPr>
        <w:spacing w:after="120" w:before="60"/>
      </w:pPr>
      <w:r>
        <w:rPr>
          <w:rFonts w:ascii="Arial" w:cs="Arial" w:eastAsia="Arial" w:hAnsi="Arial"/>
          <w:color w:val="1F2937"/>
          <w:sz w:val="22"/>
          <w:szCs w:val="22"/>
        </w:rPr>
        <w:t xml:space="preserve">Here is the calculation to lead with in every sales conversation. The average residential service call (plumber, electrician, HVAC tech) costs $150–350 for the visit alone, before parts. A 200-unit property generates roughly 3–5 maintenance events per unit per year — so 600–1,000 events annually. Industry data suggests 30–40% of those events are addressable by tenant self-service with proper guidance. At a conservative 30% self-resolution rate on 600 events with a $180 average call cost, that is $32,400 in avoided dispatch costs annually. MaintenanceWise at $1/unit/month costs $2,400/year for that same property. The ROI is 13.5x before counting staff time.</w:t>
      </w:r>
    </w:p>
    <w:p>
      <w:pPr>
        <w:spacing w:after="120" w:before="60"/>
      </w:pPr>
      <w:r>
        <w:rPr>
          <w:rFonts w:ascii="Arial" w:cs="Arial" w:eastAsia="Arial" w:hAnsi="Arial"/>
          <w:color w:val="1F2937"/>
          <w:sz w:val="22"/>
          <w:szCs w:val="22"/>
        </w:rPr>
        <w:t xml:space="preserve">You should build a simple ROI calculator into your sales process — not a spreadsheet you email over, but a live calculator on your website where a PM enters their unit count and average work order cost and sees their projected annual savings. This converts the abstract value proposition into a number they can put in a budget request.</w:t>
      </w:r>
    </w:p>
    <w:p>
      <w:pPr>
        <w:pBdr>
          <w:bottom w:val="single" w:color="0F7B72" w:sz="4" w:space="6"/>
        </w:pBdr>
        <w:spacing w:after="100" w:before="360"/>
      </w:pPr>
      <w:r>
        <w:rPr>
          <w:rFonts w:ascii="Arial" w:cs="Arial" w:eastAsia="Arial" w:hAnsi="Arial"/>
          <w:b/>
          <w:bCs/>
          <w:color w:val="0F7B72"/>
          <w:sz w:val="28"/>
          <w:szCs w:val="28"/>
        </w:rPr>
        <w:t xml:space="preserve">2.3  Pricing Strategy</w:t>
      </w:r>
    </w:p>
    <w:p>
      <w:pPr>
        <w:spacing w:after="120" w:before="60"/>
      </w:pPr>
      <w:r>
        <w:rPr>
          <w:rFonts w:ascii="Arial" w:cs="Arial" w:eastAsia="Arial" w:hAnsi="Arial"/>
          <w:color w:val="1F2937"/>
          <w:sz w:val="22"/>
          <w:szCs w:val="22"/>
        </w:rPr>
        <w:t xml:space="preserve">Your current pricing signal — $X/unit/month, tenants free — is structurally correct. The question is where X lands. Here is how to think about it.</w:t>
      </w:r>
    </w:p>
    <w:p>
      <w:pPr>
        <w:spacing w:after="120" w:before="60"/>
      </w:pPr>
      <w:r>
        <w:rPr>
          <w:rFonts w:ascii="Arial" w:cs="Arial" w:eastAsia="Arial" w:hAnsi="Arial"/>
          <w:color w:val="1F2937"/>
          <w:sz w:val="22"/>
          <w:szCs w:val="22"/>
        </w:rPr>
        <w:t xml:space="preserve">AppFolio charges $1.40–3/unit/month for the full platform. Buildium is similar. You are not a full platform, so you cannot charge that. But you are also not a commodity feature — you have genuine differentiation that creates measurable cost savings. A pricing range of $0.75–1.50/unit/month positions you as a premium add-on for PMs already on another platform, or as an affordable standalone for those who are not.</w:t>
      </w:r>
    </w:p>
    <w:p>
      <w:pPr>
        <w:spacing w:after="120" w:before="60"/>
      </w:pPr>
      <w:r>
        <w:rPr>
          <w:rFonts w:ascii="Arial" w:cs="Arial" w:eastAsia="Arial" w:hAnsi="Arial"/>
          <w:color w:val="1F2937"/>
          <w:sz w:val="22"/>
          <w:szCs w:val="22"/>
        </w:rPr>
        <w:t xml:space="preserve">Do not start with a free tier at launch. Unpaid pilots give you usage data but not pricing data. Charge from day one, even if it is a discounted pilot rate ($0.50/unit/month for 3 months). Payment changes the nature of the feedback you receive — PMs who pay attention to whether the tool is working and tell you exactly why it is or is not worth the money.</w:t>
      </w:r>
    </w:p>
    <w:p>
      <w:pPr>
        <w:spacing w:after="120" w:before="60"/>
      </w:pPr>
      <w:r>
        <w:rPr>
          <w:rFonts w:ascii="Arial" w:cs="Arial" w:eastAsia="Arial" w:hAnsi="Arial"/>
          <w:color w:val="1F2937"/>
          <w:sz w:val="22"/>
          <w:szCs w:val="22"/>
        </w:rPr>
        <w:t xml:space="preserve">Consider a per-prevented-work-order pricing model as a future option. At $15 per resolved ticket (vs $180+ in avoided dispatch costs), you align price directly with value delivered. This is harder to explain and requires robust tracking, but it is a moat in itself because it creates a direct link between your product's performance and your revenue.</w:t>
      </w:r>
    </w:p>
    <w:p>
      <w:pPr>
        <w:pBdr>
          <w:bottom w:val="single" w:color="0F7B72" w:sz="4" w:space="6"/>
        </w:pBdr>
        <w:spacing w:after="100" w:before="360"/>
      </w:pPr>
      <w:r>
        <w:rPr>
          <w:rFonts w:ascii="Arial" w:cs="Arial" w:eastAsia="Arial" w:hAnsi="Arial"/>
          <w:b/>
          <w:bCs/>
          <w:color w:val="0F7B72"/>
          <w:sz w:val="28"/>
          <w:szCs w:val="28"/>
        </w:rPr>
        <w:t xml:space="preserve">2.4  The Sales Motion for the First 90 Days</w:t>
      </w:r>
    </w:p>
    <w:p>
      <w:pPr>
        <w:spacing w:after="120" w:before="60"/>
      </w:pPr>
      <w:r>
        <w:rPr>
          <w:rFonts w:ascii="Arial" w:cs="Arial" w:eastAsia="Arial" w:hAnsi="Arial"/>
          <w:color w:val="1F2937"/>
          <w:sz w:val="22"/>
          <w:szCs w:val="22"/>
        </w:rPr>
        <w:t xml:space="preserve">Do not build a self-serve onboarding funnel yet. Your first five customers should come through direct relationship selling because you need the qualitative feedback loop, not the conversion rate data. Here is the recommended sequence.</w:t>
      </w:r>
    </w:p>
    <w:p>
      <w:pPr>
        <w:pStyle w:val="ListParagraph"/>
        <w:numPr>
          <w:ilvl w:val="0"/>
          <w:numId w:val="2"/>
        </w:numPr>
        <w:spacing w:after="40" w:before="40"/>
      </w:pPr>
      <w:r>
        <w:rPr>
          <w:rFonts w:ascii="Arial" w:cs="Arial" w:eastAsia="Arial" w:hAnsi="Arial"/>
          <w:b w:val="false"/>
          <w:bCs w:val="false"/>
          <w:color w:val="1F2937"/>
          <w:sz w:val="22"/>
          <w:szCs w:val="22"/>
        </w:rPr>
        <w:t xml:space="preserve">Identify 10 property management companies in your metro area managing 100–500 units. LinkedIn and local NARPM (National Association of Residential Property Managers) chapters are the fastest sources.</w:t>
      </w:r>
    </w:p>
    <w:p>
      <w:pPr>
        <w:pStyle w:val="ListParagraph"/>
        <w:numPr>
          <w:ilvl w:val="0"/>
          <w:numId w:val="2"/>
        </w:numPr>
        <w:spacing w:after="40" w:before="40"/>
      </w:pPr>
      <w:r>
        <w:rPr>
          <w:rFonts w:ascii="Arial" w:cs="Arial" w:eastAsia="Arial" w:hAnsi="Arial"/>
          <w:b w:val="false"/>
          <w:bCs w:val="false"/>
          <w:color w:val="1F2937"/>
          <w:sz w:val="22"/>
          <w:szCs w:val="22"/>
        </w:rPr>
        <w:t xml:space="preserve">Request a 20-minute call framed as research: "We're building an AI maintenance tool and want to understand how your team handles the first 30 minutes of a maintenance request." Get them talking before you pitch.</w:t>
      </w:r>
    </w:p>
    <w:p>
      <w:pPr>
        <w:pStyle w:val="ListParagraph"/>
        <w:numPr>
          <w:ilvl w:val="0"/>
          <w:numId w:val="2"/>
        </w:numPr>
        <w:spacing w:after="40" w:before="40"/>
      </w:pPr>
      <w:r>
        <w:rPr>
          <w:rFonts w:ascii="Arial" w:cs="Arial" w:eastAsia="Arial" w:hAnsi="Arial"/>
          <w:b w:val="false"/>
          <w:bCs w:val="false"/>
          <w:color w:val="1F2937"/>
          <w:sz w:val="22"/>
          <w:szCs w:val="22"/>
        </w:rPr>
        <w:t xml:space="preserve">After two calls, you will have heard the same three problems repeatedly. Use those exact words in your pitch deck and demo script.</w:t>
      </w:r>
    </w:p>
    <w:p>
      <w:pPr>
        <w:pStyle w:val="ListParagraph"/>
        <w:numPr>
          <w:ilvl w:val="0"/>
          <w:numId w:val="2"/>
        </w:numPr>
        <w:spacing w:after="40" w:before="40"/>
      </w:pPr>
      <w:r>
        <w:rPr>
          <w:rFonts w:ascii="Arial" w:cs="Arial" w:eastAsia="Arial" w:hAnsi="Arial"/>
          <w:b w:val="false"/>
          <w:bCs w:val="false"/>
          <w:color w:val="1F2937"/>
          <w:sz w:val="22"/>
          <w:szCs w:val="22"/>
        </w:rPr>
        <w:t xml:space="preserve">Offer a 60-day paid pilot at a deeply discounted rate ($0.25/unit/month, minimum $500). This is not a free trial — it is a paid engagement that signals you are a real company and they are real partners.</w:t>
      </w:r>
    </w:p>
    <w:p>
      <w:pPr>
        <w:pStyle w:val="ListParagraph"/>
        <w:numPr>
          <w:ilvl w:val="0"/>
          <w:numId w:val="2"/>
        </w:numPr>
        <w:spacing w:after="40" w:before="40"/>
      </w:pPr>
      <w:r>
        <w:rPr>
          <w:rFonts w:ascii="Arial" w:cs="Arial" w:eastAsia="Arial" w:hAnsi="Arial"/>
          <w:b w:val="false"/>
          <w:bCs w:val="false"/>
          <w:color w:val="1F2937"/>
          <w:sz w:val="22"/>
          <w:szCs w:val="22"/>
        </w:rPr>
        <w:t xml:space="preserve">Instrument everything. You need to know: tickets created, self-resolution rate, time to first PM response, PM time spent per ticket. These are your proof points for every subsequent sale.</w:t>
      </w:r>
    </w:p>
    <w:p>
      <w:r>
        <w:br w:type="page"/>
      </w:r>
    </w:p>
    <w:p>
      <w:pPr>
        <w:pStyle w:val="Heading1"/>
      </w:pPr>
      <w:r>
        <w:rPr>
          <w:rFonts w:ascii="Arial" w:cs="Arial" w:eastAsia="Arial" w:hAnsi="Arial"/>
          <w:b/>
          <w:bCs/>
          <w:color w:val="1B2A4A"/>
          <w:sz w:val="40"/>
          <w:szCs w:val="40"/>
        </w:rPr>
        <w:t xml:space="preserve">Part 3: Roadmap Sequencing</w:t>
      </w:r>
    </w:p>
    <w:p>
      <w:pPr>
        <w:pBdr>
          <w:bottom w:val="single" w:color="0F7B72" w:sz="4" w:space="6"/>
        </w:pBdr>
        <w:spacing w:after="100" w:before="360"/>
      </w:pPr>
      <w:r>
        <w:rPr>
          <w:rFonts w:ascii="Arial" w:cs="Arial" w:eastAsia="Arial" w:hAnsi="Arial"/>
          <w:b/>
          <w:bCs/>
          <w:color w:val="0F7B72"/>
          <w:sz w:val="28"/>
          <w:szCs w:val="28"/>
        </w:rPr>
        <w:t xml:space="preserve">3.1  The Core Problem With the Current Roadmap</w:t>
      </w:r>
    </w:p>
    <w:p>
      <w:pPr>
        <w:spacing w:after="120" w:before="60"/>
      </w:pPr>
      <w:r>
        <w:rPr>
          <w:rFonts w:ascii="Arial" w:cs="Arial" w:eastAsia="Arial" w:hAnsi="Arial"/>
          <w:color w:val="1F2937"/>
          <w:sz w:val="22"/>
          <w:szCs w:val="22"/>
        </w:rPr>
        <w:t xml:space="preserve">You built Phase 2B (AI retrieval, grounding, guided troubleshooting) before Phase 3A (the PM setup UI that makes any of it usable in production). That inversion — building the sophisticated layer before the basic operational layer — is common in technical founder-led startups and it is understandable. The interesting engineering problems are in Phase 2. But it means you have an impressive AI pipeline with no way to onboard a real customer.</w:t>
      </w:r>
    </w:p>
    <w:p>
      <w:pPr>
        <w:spacing w:after="120" w:before="60"/>
      </w:pPr>
      <w:r>
        <w:rPr>
          <w:rFonts w:ascii="Arial" w:cs="Arial" w:eastAsia="Arial" w:hAnsi="Arial"/>
          <w:color w:val="1F2937"/>
          <w:sz w:val="22"/>
          <w:szCs w:val="22"/>
        </w:rPr>
        <w:t xml:space="preserve">The current roadmap corrects this by making Phase 3A next. That is right. The question is how to execute Phase 3A without letting scope creep push your first real user further into the future.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20"/>
              <w:bottom w:val="single" w:color="D97706" w:sz="6"/>
              <w:right w:val="single" w:color="D97706" w:sz="6"/>
            </w:tcBorders>
            <w:shd w:fill="FFF8E7" w:val="clear"/>
            <w:tcMar>
              <w:top w:type="dxa" w:w="120"/>
              <w:left w:type="dxa" w:w="200"/>
              <w:bottom w:type="dxa" w:w="120"/>
              <w:right w:type="dxa" w:w="200"/>
            </w:tcMar>
          </w:tcPr>
          <w:p>
            <w:pPr>
              <w:spacing w:after="60" w:before="0"/>
            </w:pPr>
            <w:r>
              <w:rPr>
                <w:rFonts w:ascii="Arial" w:cs="Arial" w:eastAsia="Arial" w:hAnsi="Arial"/>
                <w:b/>
                <w:bCs/>
                <w:color w:val="D97706"/>
                <w:sz w:val="20"/>
                <w:szCs w:val="20"/>
              </w:rPr>
              <w:t xml:space="preserve">The Rule: Minimum Viable Onboarding First</w:t>
            </w:r>
          </w:p>
          <w:p>
            <w:pPr>
              <w:spacing w:after="0" w:before="0"/>
            </w:pPr>
            <w:r>
              <w:rPr>
                <w:rFonts w:ascii="Arial" w:cs="Arial" w:eastAsia="Arial" w:hAnsi="Arial"/>
                <w:color w:val="1F2937"/>
                <w:sz w:val="20"/>
                <w:szCs w:val="20"/>
              </w:rPr>
              <w:t xml:space="preserve">Phase 3A should deliver exactly one thing: the ability for a PM to log in, create a property, add units, and link tenants — so that the triage flow works end-to-end with real users. Every other feature in the Phase 3 list is secondary to this single outcome.</w:t>
            </w:r>
          </w:p>
        </w:tc>
      </w:tr>
    </w:tbl>
    <w:p>
      <w:pPr>
        <w:spacing w:after="0" w:before="120"/>
      </w:pPr>
    </w:p>
    <w:p>
      <w:pPr>
        <w:pBdr>
          <w:bottom w:val="single" w:color="0F7B72" w:sz="4" w:space="6"/>
        </w:pBdr>
        <w:spacing w:after="100" w:before="360"/>
      </w:pPr>
      <w:r>
        <w:rPr>
          <w:rFonts w:ascii="Arial" w:cs="Arial" w:eastAsia="Arial" w:hAnsi="Arial"/>
          <w:b/>
          <w:bCs/>
          <w:color w:val="0F7B72"/>
          <w:sz w:val="28"/>
          <w:szCs w:val="28"/>
        </w:rPr>
        <w:t xml:space="preserve">3.2  What to Cut, Defer, and Accelerate</w:t>
      </w:r>
    </w:p>
    <w:p>
      <w:pPr>
        <w:spacing w:after="120" w:before="60"/>
      </w:pPr>
      <w:r>
        <w:rPr>
          <w:rFonts w:ascii="Arial" w:cs="Arial" w:eastAsia="Arial" w:hAnsi="Arial"/>
          <w:color w:val="1F2937"/>
          <w:sz w:val="22"/>
          <w:szCs w:val="22"/>
        </w:rPr>
        <w:t xml:space="preserve">The following table gives an opinionated reordering of your roadmap based on one criterion: what is the fastest path to having a real PM and real tenants using the system, with enough data to learn from?</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2800"/>
        <w:gridCol w:w="2360"/>
      </w:tblGrid>
      <w:tr>
        <w:tc>
          <w:tcPr>
            <w:tcW w:type="dxa" w:w="700"/>
            <w:tcBorders>
              <w:top w:val="single" w:color="C5D0E0" w:sz="1"/>
              <w:left w:val="single" w:color="C5D0E0" w:sz="1"/>
              <w:bottom w:val="single" w:color="C5D0E0" w:sz="1"/>
              <w:right w:val="single" w:color="C5D0E0"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500"/>
            <w:tcBorders>
              <w:top w:val="single" w:color="C5D0E0" w:sz="1"/>
              <w:left w:val="single" w:color="C5D0E0" w:sz="1"/>
              <w:bottom w:val="single" w:color="C5D0E0" w:sz="1"/>
              <w:right w:val="single" w:color="C5D0E0"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Action</w:t>
            </w:r>
          </w:p>
        </w:tc>
        <w:tc>
          <w:tcPr>
            <w:tcW w:type="dxa" w:w="2800"/>
            <w:tcBorders>
              <w:top w:val="single" w:color="C5D0E0" w:sz="1"/>
              <w:left w:val="single" w:color="C5D0E0" w:sz="1"/>
              <w:bottom w:val="single" w:color="C5D0E0" w:sz="1"/>
              <w:right w:val="single" w:color="C5D0E0"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When</w:t>
            </w:r>
          </w:p>
        </w:tc>
        <w:tc>
          <w:tcPr>
            <w:tcW w:type="dxa" w:w="2360"/>
            <w:tcBorders>
              <w:top w:val="single" w:color="C5D0E0" w:sz="1"/>
              <w:left w:val="single" w:color="C5D0E0" w:sz="1"/>
              <w:bottom w:val="single" w:color="C5D0E0" w:sz="1"/>
              <w:right w:val="single" w:color="C5D0E0"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Why It Matters</w:t>
            </w:r>
          </w:p>
        </w:tc>
      </w:tr>
      <w:tr>
        <w:tc>
          <w:tcPr>
            <w:tcW w:type="dxa" w:w="700"/>
            <w:tcBorders>
              <w:top w:val="single" w:color="C5D0E0" w:sz="1"/>
              <w:left w:val="single" w:color="C5D0E0" w:sz="1"/>
              <w:bottom w:val="single" w:color="C5D0E0" w:sz="1"/>
              <w:right w:val="single" w:color="C5D0E0" w:sz="1"/>
            </w:tcBorders>
            <w:shd w:fill="FFFFFF" w:val="clear"/>
            <w:tcMar>
              <w:top w:type="dxa" w:w="80"/>
              <w:left w:type="dxa" w:w="100"/>
              <w:bottom w:type="dxa" w:w="80"/>
              <w:right w:type="dxa" w:w="100"/>
            </w:tcMar>
          </w:tcPr>
          <w:p>
            <w:r>
              <w:rPr>
                <w:rFonts w:ascii="Arial" w:cs="Arial" w:eastAsia="Arial" w:hAnsi="Arial"/>
                <w:b/>
                <w:bCs/>
                <w:color w:val="0F7B72"/>
                <w:sz w:val="19"/>
                <w:szCs w:val="19"/>
              </w:rPr>
              <w:t xml:space="preserve">1</w:t>
            </w:r>
          </w:p>
        </w:tc>
        <w:tc>
          <w:tcPr>
            <w:tcW w:type="dxa" w:w="3500"/>
            <w:tcBorders>
              <w:top w:val="single" w:color="C5D0E0" w:sz="1"/>
              <w:left w:val="single" w:color="C5D0E0" w:sz="1"/>
              <w:bottom w:val="single" w:color="C5D0E0" w:sz="1"/>
              <w:right w:val="single" w:color="C5D0E0"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Phase 3A — Min. Viable Onboarding (property + units + tenant invite link)</w:t>
            </w:r>
          </w:p>
        </w:tc>
        <w:tc>
          <w:tcPr>
            <w:tcW w:type="dxa" w:w="2800"/>
            <w:tcBorders>
              <w:top w:val="single" w:color="C5D0E0" w:sz="1"/>
              <w:left w:val="single" w:color="C5D0E0" w:sz="1"/>
              <w:bottom w:val="single" w:color="C5D0E0" w:sz="1"/>
              <w:right w:val="single" w:color="C5D0E0"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Weeks 1-2</w:t>
            </w:r>
          </w:p>
        </w:tc>
        <w:tc>
          <w:tcPr>
            <w:tcW w:type="dxa" w:w="2360"/>
            <w:tcBorders>
              <w:top w:val="single" w:color="C5D0E0" w:sz="1"/>
              <w:left w:val="single" w:color="C5D0E0" w:sz="1"/>
              <w:bottom w:val="single" w:color="C5D0E0" w:sz="1"/>
              <w:right w:val="single" w:color="C5D0E0"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Nothing else matters until a PM can onboard without your help</w:t>
            </w:r>
          </w:p>
        </w:tc>
      </w:tr>
      <w:tr>
        <w:tc>
          <w:tcPr>
            <w:tcW w:type="dxa" w:w="700"/>
            <w:tcBorders>
              <w:top w:val="single" w:color="C5D0E0" w:sz="1"/>
              <w:left w:val="single" w:color="C5D0E0" w:sz="1"/>
              <w:bottom w:val="single" w:color="C5D0E0" w:sz="1"/>
              <w:right w:val="single" w:color="C5D0E0" w:sz="1"/>
            </w:tcBorders>
            <w:shd w:fill="EEF2F7" w:val="clear"/>
            <w:tcMar>
              <w:top w:type="dxa" w:w="80"/>
              <w:left w:type="dxa" w:w="100"/>
              <w:bottom w:type="dxa" w:w="80"/>
              <w:right w:type="dxa" w:w="100"/>
            </w:tcMar>
          </w:tcPr>
          <w:p>
            <w:r>
              <w:rPr>
                <w:rFonts w:ascii="Arial" w:cs="Arial" w:eastAsia="Arial" w:hAnsi="Arial"/>
                <w:b/>
                <w:bCs/>
                <w:color w:val="0F7B72"/>
                <w:sz w:val="19"/>
                <w:szCs w:val="19"/>
              </w:rPr>
              <w:t xml:space="preserve">2</w:t>
            </w:r>
          </w:p>
        </w:tc>
        <w:tc>
          <w:tcPr>
            <w:tcW w:type="dxa" w:w="3500"/>
            <w:tcBorders>
              <w:top w:val="single" w:color="C5D0E0" w:sz="1"/>
              <w:left w:val="single" w:color="C5D0E0" w:sz="1"/>
              <w:bottom w:val="single" w:color="C5D0E0" w:sz="1"/>
              <w:right w:val="single" w:color="C5D0E0" w:sz="1"/>
            </w:tcBorders>
            <w:shd w:fill="EEF2F7" w:val="clear"/>
            <w:tcMar>
              <w:top w:type="dxa" w:w="80"/>
              <w:left w:type="dxa" w:w="100"/>
              <w:bottom w:type="dxa" w:w="80"/>
              <w:right w:type="dxa" w:w="100"/>
            </w:tcMar>
          </w:tcPr>
          <w:p>
            <w:r>
              <w:rPr>
                <w:rFonts w:ascii="Arial" w:cs="Arial" w:eastAsia="Arial" w:hAnsi="Arial"/>
                <w:b w:val="false"/>
                <w:bCs w:val="false"/>
                <w:color w:val="1F2937"/>
                <w:sz w:val="19"/>
                <w:szCs w:val="19"/>
              </w:rPr>
              <w:t xml:space="preserve">SOP seeding (5 SOPs per top 5 categories)</w:t>
            </w:r>
          </w:p>
        </w:tc>
        <w:tc>
          <w:tcPr>
            <w:tcW w:type="dxa" w:w="2800"/>
            <w:tcBorders>
              <w:top w:val="single" w:color="C5D0E0" w:sz="1"/>
              <w:left w:val="single" w:color="C5D0E0" w:sz="1"/>
              <w:bottom w:val="single" w:color="C5D0E0" w:sz="1"/>
              <w:right w:val="single" w:color="C5D0E0" w:sz="1"/>
            </w:tcBorders>
            <w:shd w:fill="EEF2F7" w:val="clear"/>
            <w:tcMar>
              <w:top w:type="dxa" w:w="80"/>
              <w:left w:type="dxa" w:w="100"/>
              <w:bottom w:type="dxa" w:w="80"/>
              <w:right w:type="dxa" w:w="100"/>
            </w:tcMar>
          </w:tcPr>
          <w:p>
            <w:r>
              <w:rPr>
                <w:rFonts w:ascii="Arial" w:cs="Arial" w:eastAsia="Arial" w:hAnsi="Arial"/>
                <w:b w:val="false"/>
                <w:bCs w:val="false"/>
                <w:color w:val="1F2937"/>
                <w:sz w:val="19"/>
                <w:szCs w:val="19"/>
              </w:rPr>
              <w:t xml:space="preserve">Week 2 (parallel)</w:t>
            </w:r>
          </w:p>
        </w:tc>
        <w:tc>
          <w:tcPr>
            <w:tcW w:type="dxa" w:w="2360"/>
            <w:tcBorders>
              <w:top w:val="single" w:color="C5D0E0" w:sz="1"/>
              <w:left w:val="single" w:color="C5D0E0" w:sz="1"/>
              <w:bottom w:val="single" w:color="C5D0E0" w:sz="1"/>
              <w:right w:val="single" w:color="C5D0E0" w:sz="1"/>
            </w:tcBorders>
            <w:shd w:fill="EEF2F7" w:val="clear"/>
            <w:tcMar>
              <w:top w:type="dxa" w:w="80"/>
              <w:left w:type="dxa" w:w="100"/>
              <w:bottom w:type="dxa" w:w="80"/>
              <w:right w:type="dxa" w:w="100"/>
            </w:tcMar>
          </w:tcPr>
          <w:p>
            <w:r>
              <w:rPr>
                <w:rFonts w:ascii="Arial" w:cs="Arial" w:eastAsia="Arial" w:hAnsi="Arial"/>
                <w:b w:val="false"/>
                <w:bCs w:val="false"/>
                <w:color w:val="1F2937"/>
                <w:sz w:val="19"/>
                <w:szCs w:val="19"/>
              </w:rPr>
              <w:t xml:space="preserve">Triage quality is only as good as your SOPs. Do this in parallel with 3A.</w:t>
            </w:r>
          </w:p>
        </w:tc>
      </w:tr>
      <w:tr>
        <w:tc>
          <w:tcPr>
            <w:tcW w:type="dxa" w:w="700"/>
            <w:tcBorders>
              <w:top w:val="single" w:color="C5D0E0" w:sz="1"/>
              <w:left w:val="single" w:color="C5D0E0" w:sz="1"/>
              <w:bottom w:val="single" w:color="C5D0E0" w:sz="1"/>
              <w:right w:val="single" w:color="C5D0E0" w:sz="1"/>
            </w:tcBorders>
            <w:shd w:fill="FFFFFF" w:val="clear"/>
            <w:tcMar>
              <w:top w:type="dxa" w:w="80"/>
              <w:left w:type="dxa" w:w="100"/>
              <w:bottom w:type="dxa" w:w="80"/>
              <w:right w:type="dxa" w:w="100"/>
            </w:tcMar>
          </w:tcPr>
          <w:p>
            <w:r>
              <w:rPr>
                <w:rFonts w:ascii="Arial" w:cs="Arial" w:eastAsia="Arial" w:hAnsi="Arial"/>
                <w:b/>
                <w:bCs/>
                <w:color w:val="0F7B72"/>
                <w:sz w:val="19"/>
                <w:szCs w:val="19"/>
              </w:rPr>
              <w:t xml:space="preserve">3</w:t>
            </w:r>
          </w:p>
        </w:tc>
        <w:tc>
          <w:tcPr>
            <w:tcW w:type="dxa" w:w="3500"/>
            <w:tcBorders>
              <w:top w:val="single" w:color="C5D0E0" w:sz="1"/>
              <w:left w:val="single" w:color="C5D0E0" w:sz="1"/>
              <w:bottom w:val="single" w:color="C5D0E0" w:sz="1"/>
              <w:right w:val="single" w:color="C5D0E0"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Phase 3B — Ticket Workflow
(assignment, status, PM notes)</w:t>
            </w:r>
          </w:p>
        </w:tc>
        <w:tc>
          <w:tcPr>
            <w:tcW w:type="dxa" w:w="2800"/>
            <w:tcBorders>
              <w:top w:val="single" w:color="C5D0E0" w:sz="1"/>
              <w:left w:val="single" w:color="C5D0E0" w:sz="1"/>
              <w:bottom w:val="single" w:color="C5D0E0" w:sz="1"/>
              <w:right w:val="single" w:color="C5D0E0"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Weeks 3–4</w:t>
            </w:r>
          </w:p>
        </w:tc>
        <w:tc>
          <w:tcPr>
            <w:tcW w:type="dxa" w:w="2360"/>
            <w:tcBorders>
              <w:top w:val="single" w:color="C5D0E0" w:sz="1"/>
              <w:left w:val="single" w:color="C5D0E0" w:sz="1"/>
              <w:bottom w:val="single" w:color="C5D0E0" w:sz="1"/>
              <w:right w:val="single" w:color="C5D0E0"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PM cannot run daily operations without status management</w:t>
            </w:r>
          </w:p>
        </w:tc>
      </w:tr>
      <w:tr>
        <w:tc>
          <w:tcPr>
            <w:tcW w:type="dxa" w:w="700"/>
            <w:tcBorders>
              <w:top w:val="single" w:color="C5D0E0" w:sz="1"/>
              <w:left w:val="single" w:color="C5D0E0" w:sz="1"/>
              <w:bottom w:val="single" w:color="C5D0E0" w:sz="1"/>
              <w:right w:val="single" w:color="C5D0E0" w:sz="1"/>
            </w:tcBorders>
            <w:shd w:fill="EEF2F7" w:val="clear"/>
            <w:tcMar>
              <w:top w:type="dxa" w:w="80"/>
              <w:left w:type="dxa" w:w="100"/>
              <w:bottom w:type="dxa" w:w="80"/>
              <w:right w:type="dxa" w:w="100"/>
            </w:tcMar>
          </w:tcPr>
          <w:p>
            <w:r>
              <w:rPr>
                <w:rFonts w:ascii="Arial" w:cs="Arial" w:eastAsia="Arial" w:hAnsi="Arial"/>
                <w:b/>
                <w:bCs/>
                <w:color w:val="0F7B72"/>
                <w:sz w:val="19"/>
                <w:szCs w:val="19"/>
              </w:rPr>
              <w:t xml:space="preserve">4</w:t>
            </w:r>
          </w:p>
        </w:tc>
        <w:tc>
          <w:tcPr>
            <w:tcW w:type="dxa" w:w="3500"/>
            <w:tcBorders>
              <w:top w:val="single" w:color="C5D0E0" w:sz="1"/>
              <w:left w:val="single" w:color="C5D0E0" w:sz="1"/>
              <w:bottom w:val="single" w:color="C5D0E0" w:sz="1"/>
              <w:right w:val="single" w:color="C5D0E0" w:sz="1"/>
            </w:tcBorders>
            <w:shd w:fill="EEF2F7" w:val="clear"/>
            <w:tcMar>
              <w:top w:type="dxa" w:w="80"/>
              <w:left w:type="dxa" w:w="100"/>
              <w:bottom w:type="dxa" w:w="80"/>
              <w:right w:type="dxa" w:w="100"/>
            </w:tcMar>
          </w:tcPr>
          <w:p>
            <w:r>
              <w:rPr>
                <w:rFonts w:ascii="Arial" w:cs="Arial" w:eastAsia="Arial" w:hAnsi="Arial"/>
                <w:b w:val="false"/>
                <w:bCs w:val="false"/>
                <w:color w:val="1F2937"/>
                <w:sz w:val="19"/>
                <w:szCs w:val="19"/>
              </w:rPr>
              <w:t xml:space="preserve">Phase 4A — Email Notifications
(new ticket to PM, status to tenant)</w:t>
            </w:r>
          </w:p>
        </w:tc>
        <w:tc>
          <w:tcPr>
            <w:tcW w:type="dxa" w:w="2800"/>
            <w:tcBorders>
              <w:top w:val="single" w:color="C5D0E0" w:sz="1"/>
              <w:left w:val="single" w:color="C5D0E0" w:sz="1"/>
              <w:bottom w:val="single" w:color="C5D0E0" w:sz="1"/>
              <w:right w:val="single" w:color="C5D0E0" w:sz="1"/>
            </w:tcBorders>
            <w:shd w:fill="EEF2F7" w:val="clear"/>
            <w:tcMar>
              <w:top w:type="dxa" w:w="80"/>
              <w:left w:type="dxa" w:w="100"/>
              <w:bottom w:type="dxa" w:w="80"/>
              <w:right w:type="dxa" w:w="100"/>
            </w:tcMar>
          </w:tcPr>
          <w:p>
            <w:r>
              <w:rPr>
                <w:rFonts w:ascii="Arial" w:cs="Arial" w:eastAsia="Arial" w:hAnsi="Arial"/>
                <w:b w:val="false"/>
                <w:bCs w:val="false"/>
                <w:color w:val="1F2937"/>
                <w:sz w:val="19"/>
                <w:szCs w:val="19"/>
              </w:rPr>
              <w:t xml:space="preserve">Week 5</w:t>
            </w:r>
          </w:p>
        </w:tc>
        <w:tc>
          <w:tcPr>
            <w:tcW w:type="dxa" w:w="2360"/>
            <w:tcBorders>
              <w:top w:val="single" w:color="C5D0E0" w:sz="1"/>
              <w:left w:val="single" w:color="C5D0E0" w:sz="1"/>
              <w:bottom w:val="single" w:color="C5D0E0" w:sz="1"/>
              <w:right w:val="single" w:color="C5D0E0" w:sz="1"/>
            </w:tcBorders>
            <w:shd w:fill="EEF2F7" w:val="clear"/>
            <w:tcMar>
              <w:top w:type="dxa" w:w="80"/>
              <w:left w:type="dxa" w:w="100"/>
              <w:bottom w:type="dxa" w:w="80"/>
              <w:right w:type="dxa" w:w="100"/>
            </w:tcMar>
          </w:tcPr>
          <w:p>
            <w:r>
              <w:rPr>
                <w:rFonts w:ascii="Arial" w:cs="Arial" w:eastAsia="Arial" w:hAnsi="Arial"/>
                <w:b w:val="false"/>
                <w:bCs w:val="false"/>
                <w:color w:val="1F2937"/>
                <w:sz w:val="19"/>
                <w:szCs w:val="19"/>
              </w:rPr>
              <w:t xml:space="preserve">Without this, PMs will not check the dashboard daily. This is adoption-critical.</w:t>
            </w:r>
          </w:p>
        </w:tc>
      </w:tr>
      <w:tr>
        <w:tc>
          <w:tcPr>
            <w:tcW w:type="dxa" w:w="700"/>
            <w:tcBorders>
              <w:top w:val="single" w:color="C5D0E0" w:sz="1"/>
              <w:left w:val="single" w:color="C5D0E0" w:sz="1"/>
              <w:bottom w:val="single" w:color="C5D0E0" w:sz="1"/>
              <w:right w:val="single" w:color="C5D0E0" w:sz="1"/>
            </w:tcBorders>
            <w:shd w:fill="FFFFFF" w:val="clear"/>
            <w:tcMar>
              <w:top w:type="dxa" w:w="80"/>
              <w:left w:type="dxa" w:w="100"/>
              <w:bottom w:type="dxa" w:w="80"/>
              <w:right w:type="dxa" w:w="100"/>
            </w:tcMar>
          </w:tcPr>
          <w:p>
            <w:r>
              <w:rPr>
                <w:rFonts w:ascii="Arial" w:cs="Arial" w:eastAsia="Arial" w:hAnsi="Arial"/>
                <w:b/>
                <w:bCs/>
                <w:color w:val="0F7B72"/>
                <w:sz w:val="19"/>
                <w:szCs w:val="19"/>
              </w:rPr>
              <w:t xml:space="preserve">5</w:t>
            </w:r>
          </w:p>
        </w:tc>
        <w:tc>
          <w:tcPr>
            <w:tcW w:type="dxa" w:w="3500"/>
            <w:tcBorders>
              <w:top w:val="single" w:color="C5D0E0" w:sz="1"/>
              <w:left w:val="single" w:color="C5D0E0" w:sz="1"/>
              <w:bottom w:val="single" w:color="C5D0E0" w:sz="1"/>
              <w:right w:val="single" w:color="C5D0E0"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Pilot launch with 1–2 paying PMs</w:t>
            </w:r>
          </w:p>
        </w:tc>
        <w:tc>
          <w:tcPr>
            <w:tcW w:type="dxa" w:w="2800"/>
            <w:tcBorders>
              <w:top w:val="single" w:color="C5D0E0" w:sz="1"/>
              <w:left w:val="single" w:color="C5D0E0" w:sz="1"/>
              <w:bottom w:val="single" w:color="C5D0E0" w:sz="1"/>
              <w:right w:val="single" w:color="C5D0E0"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Week 6</w:t>
            </w:r>
          </w:p>
        </w:tc>
        <w:tc>
          <w:tcPr>
            <w:tcW w:type="dxa" w:w="2360"/>
            <w:tcBorders>
              <w:top w:val="single" w:color="C5D0E0" w:sz="1"/>
              <w:left w:val="single" w:color="C5D0E0" w:sz="1"/>
              <w:bottom w:val="single" w:color="C5D0E0" w:sz="1"/>
              <w:right w:val="single" w:color="C5D0E0"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Get real data before building anything else</w:t>
            </w:r>
          </w:p>
        </w:tc>
      </w:tr>
      <w:tr>
        <w:tc>
          <w:tcPr>
            <w:tcW w:type="dxa" w:w="700"/>
            <w:tcBorders>
              <w:top w:val="single" w:color="C5D0E0" w:sz="1"/>
              <w:left w:val="single" w:color="C5D0E0" w:sz="1"/>
              <w:bottom w:val="single" w:color="C5D0E0" w:sz="1"/>
              <w:right w:val="single" w:color="C5D0E0" w:sz="1"/>
            </w:tcBorders>
            <w:shd w:fill="EEF2F7" w:val="clear"/>
            <w:tcMar>
              <w:top w:type="dxa" w:w="80"/>
              <w:left w:type="dxa" w:w="100"/>
              <w:bottom w:type="dxa" w:w="80"/>
              <w:right w:type="dxa" w:w="100"/>
            </w:tcMar>
          </w:tcPr>
          <w:p>
            <w:r>
              <w:rPr>
                <w:rFonts w:ascii="Arial" w:cs="Arial" w:eastAsia="Arial" w:hAnsi="Arial"/>
                <w:b/>
                <w:bCs/>
                <w:color w:val="0F7B72"/>
                <w:sz w:val="19"/>
                <w:szCs w:val="19"/>
              </w:rPr>
              <w:t xml:space="preserve">6</w:t>
            </w:r>
          </w:p>
        </w:tc>
        <w:tc>
          <w:tcPr>
            <w:tcW w:type="dxa" w:w="3500"/>
            <w:tcBorders>
              <w:top w:val="single" w:color="C5D0E0" w:sz="1"/>
              <w:left w:val="single" w:color="C5D0E0" w:sz="1"/>
              <w:bottom w:val="single" w:color="C5D0E0" w:sz="1"/>
              <w:right w:val="single" w:color="C5D0E0" w:sz="1"/>
            </w:tcBorders>
            <w:shd w:fill="EEF2F7" w:val="clear"/>
            <w:tcMar>
              <w:top w:type="dxa" w:w="80"/>
              <w:left w:type="dxa" w:w="100"/>
              <w:bottom w:type="dxa" w:w="80"/>
              <w:right w:type="dxa" w:w="100"/>
            </w:tcMar>
          </w:tcPr>
          <w:p>
            <w:r>
              <w:rPr>
                <w:rFonts w:ascii="Arial" w:cs="Arial" w:eastAsia="Arial" w:hAnsi="Arial"/>
                <w:b w:val="false"/>
                <w:bCs w:val="false"/>
                <w:color w:val="1F2937"/>
                <w:sz w:val="19"/>
                <w:szCs w:val="19"/>
              </w:rPr>
              <w:t xml:space="preserve">Phase 4B — Tenant Ticket History</w:t>
            </w:r>
          </w:p>
        </w:tc>
        <w:tc>
          <w:tcPr>
            <w:tcW w:type="dxa" w:w="2800"/>
            <w:tcBorders>
              <w:top w:val="single" w:color="C5D0E0" w:sz="1"/>
              <w:left w:val="single" w:color="C5D0E0" w:sz="1"/>
              <w:bottom w:val="single" w:color="C5D0E0" w:sz="1"/>
              <w:right w:val="single" w:color="C5D0E0" w:sz="1"/>
            </w:tcBorders>
            <w:shd w:fill="EEF2F7" w:val="clear"/>
            <w:tcMar>
              <w:top w:type="dxa" w:w="80"/>
              <w:left w:type="dxa" w:w="100"/>
              <w:bottom w:type="dxa" w:w="80"/>
              <w:right w:type="dxa" w:w="100"/>
            </w:tcMar>
          </w:tcPr>
          <w:p>
            <w:r>
              <w:rPr>
                <w:rFonts w:ascii="Arial" w:cs="Arial" w:eastAsia="Arial" w:hAnsi="Arial"/>
                <w:b w:val="false"/>
                <w:bCs w:val="false"/>
                <w:color w:val="1F2937"/>
                <w:sz w:val="19"/>
                <w:szCs w:val="19"/>
              </w:rPr>
              <w:t xml:space="preserve">Weeks 7–8</w:t>
            </w:r>
          </w:p>
        </w:tc>
        <w:tc>
          <w:tcPr>
            <w:tcW w:type="dxa" w:w="2360"/>
            <w:tcBorders>
              <w:top w:val="single" w:color="C5D0E0" w:sz="1"/>
              <w:left w:val="single" w:color="C5D0E0" w:sz="1"/>
              <w:bottom w:val="single" w:color="C5D0E0" w:sz="1"/>
              <w:right w:val="single" w:color="C5D0E0" w:sz="1"/>
            </w:tcBorders>
            <w:shd w:fill="EEF2F7" w:val="clear"/>
            <w:tcMar>
              <w:top w:type="dxa" w:w="80"/>
              <w:left w:type="dxa" w:w="100"/>
              <w:bottom w:type="dxa" w:w="80"/>
              <w:right w:type="dxa" w:w="100"/>
            </w:tcMar>
          </w:tcPr>
          <w:p>
            <w:r>
              <w:rPr>
                <w:rFonts w:ascii="Arial" w:cs="Arial" w:eastAsia="Arial" w:hAnsi="Arial"/>
                <w:b w:val="false"/>
                <w:bCs w:val="false"/>
                <w:color w:val="1F2937"/>
                <w:sz w:val="19"/>
                <w:szCs w:val="19"/>
              </w:rPr>
              <w:t xml:space="preserve">Improves tenant experience but not PM adoption blocker</w:t>
            </w:r>
          </w:p>
        </w:tc>
      </w:tr>
      <w:tr>
        <w:tc>
          <w:tcPr>
            <w:tcW w:type="dxa" w:w="700"/>
            <w:tcBorders>
              <w:top w:val="single" w:color="C5D0E0" w:sz="1"/>
              <w:left w:val="single" w:color="C5D0E0" w:sz="1"/>
              <w:bottom w:val="single" w:color="C5D0E0" w:sz="1"/>
              <w:right w:val="single" w:color="C5D0E0" w:sz="1"/>
            </w:tcBorders>
            <w:shd w:fill="FFFFFF" w:val="clear"/>
            <w:tcMar>
              <w:top w:type="dxa" w:w="80"/>
              <w:left w:type="dxa" w:w="100"/>
              <w:bottom w:type="dxa" w:w="80"/>
              <w:right w:type="dxa" w:w="100"/>
            </w:tcMar>
          </w:tcPr>
          <w:p>
            <w:r>
              <w:rPr>
                <w:rFonts w:ascii="Arial" w:cs="Arial" w:eastAsia="Arial" w:hAnsi="Arial"/>
                <w:b/>
                <w:bCs/>
                <w:color w:val="0F7B72"/>
                <w:sz w:val="19"/>
                <w:szCs w:val="19"/>
              </w:rPr>
              <w:t xml:space="preserve">7</w:t>
            </w:r>
          </w:p>
        </w:tc>
        <w:tc>
          <w:tcPr>
            <w:tcW w:type="dxa" w:w="3500"/>
            <w:tcBorders>
              <w:top w:val="single" w:color="C5D0E0" w:sz="1"/>
              <w:left w:val="single" w:color="C5D0E0" w:sz="1"/>
              <w:bottom w:val="single" w:color="C5D0E0" w:sz="1"/>
              <w:right w:val="single" w:color="C5D0E0"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Phase 5A — Analytics Dashboard</w:t>
            </w:r>
          </w:p>
        </w:tc>
        <w:tc>
          <w:tcPr>
            <w:tcW w:type="dxa" w:w="2800"/>
            <w:tcBorders>
              <w:top w:val="single" w:color="C5D0E0" w:sz="1"/>
              <w:left w:val="single" w:color="C5D0E0" w:sz="1"/>
              <w:bottom w:val="single" w:color="C5D0E0" w:sz="1"/>
              <w:right w:val="single" w:color="C5D0E0"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After pilot</w:t>
            </w:r>
          </w:p>
        </w:tc>
        <w:tc>
          <w:tcPr>
            <w:tcW w:type="dxa" w:w="2360"/>
            <w:tcBorders>
              <w:top w:val="single" w:color="C5D0E0" w:sz="1"/>
              <w:left w:val="single" w:color="C5D0E0" w:sz="1"/>
              <w:bottom w:val="single" w:color="C5D0E0" w:sz="1"/>
              <w:right w:val="single" w:color="C5D0E0"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PMs need data to justify renewal and expansion</w:t>
            </w:r>
          </w:p>
        </w:tc>
      </w:tr>
      <w:tr>
        <w:tc>
          <w:tcPr>
            <w:tcW w:type="dxa" w:w="700"/>
            <w:tcBorders>
              <w:top w:val="single" w:color="C5D0E0" w:sz="1"/>
              <w:left w:val="single" w:color="C5D0E0" w:sz="1"/>
              <w:bottom w:val="single" w:color="C5D0E0" w:sz="1"/>
              <w:right w:val="single" w:color="C5D0E0" w:sz="1"/>
            </w:tcBorders>
            <w:shd w:fill="EEF2F7" w:val="clear"/>
            <w:tcMar>
              <w:top w:type="dxa" w:w="80"/>
              <w:left w:type="dxa" w:w="100"/>
              <w:bottom w:type="dxa" w:w="80"/>
              <w:right w:type="dxa" w:w="100"/>
            </w:tcMar>
          </w:tcPr>
          <w:p>
            <w:r>
              <w:rPr>
                <w:rFonts w:ascii="Arial" w:cs="Arial" w:eastAsia="Arial" w:hAnsi="Arial"/>
                <w:b/>
                <w:bCs/>
                <w:color w:val="0F7B72"/>
                <w:sz w:val="19"/>
                <w:szCs w:val="19"/>
              </w:rPr>
              <w:t xml:space="preserve">8</w:t>
            </w:r>
          </w:p>
        </w:tc>
        <w:tc>
          <w:tcPr>
            <w:tcW w:type="dxa" w:w="3500"/>
            <w:tcBorders>
              <w:top w:val="single" w:color="C5D0E0" w:sz="1"/>
              <w:left w:val="single" w:color="C5D0E0" w:sz="1"/>
              <w:bottom w:val="single" w:color="C5D0E0" w:sz="1"/>
              <w:right w:val="single" w:color="C5D0E0" w:sz="1"/>
            </w:tcBorders>
            <w:shd w:fill="EEF2F7" w:val="clear"/>
            <w:tcMar>
              <w:top w:type="dxa" w:w="80"/>
              <w:left w:type="dxa" w:w="100"/>
              <w:bottom w:type="dxa" w:w="80"/>
              <w:right w:type="dxa" w:w="100"/>
            </w:tcMar>
          </w:tcPr>
          <w:p>
            <w:r>
              <w:rPr>
                <w:rFonts w:ascii="Arial" w:cs="Arial" w:eastAsia="Arial" w:hAnsi="Arial"/>
                <w:b w:val="false"/>
                <w:bCs w:val="false"/>
                <w:color w:val="1F2937"/>
                <w:sz w:val="19"/>
                <w:szCs w:val="19"/>
              </w:rPr>
              <w:t xml:space="preserve">Phase 3C — Vendor Management</w:t>
            </w:r>
          </w:p>
        </w:tc>
        <w:tc>
          <w:tcPr>
            <w:tcW w:type="dxa" w:w="2800"/>
            <w:tcBorders>
              <w:top w:val="single" w:color="C5D0E0" w:sz="1"/>
              <w:left w:val="single" w:color="C5D0E0" w:sz="1"/>
              <w:bottom w:val="single" w:color="C5D0E0" w:sz="1"/>
              <w:right w:val="single" w:color="C5D0E0" w:sz="1"/>
            </w:tcBorders>
            <w:shd w:fill="EEF2F7" w:val="clear"/>
            <w:tcMar>
              <w:top w:type="dxa" w:w="80"/>
              <w:left w:type="dxa" w:w="100"/>
              <w:bottom w:type="dxa" w:w="80"/>
              <w:right w:type="dxa" w:w="100"/>
            </w:tcMar>
          </w:tcPr>
          <w:p>
            <w:r>
              <w:rPr>
                <w:rFonts w:ascii="Arial" w:cs="Arial" w:eastAsia="Arial" w:hAnsi="Arial"/>
                <w:b w:val="false"/>
                <w:bCs w:val="false"/>
                <w:color w:val="1F2937"/>
                <w:sz w:val="19"/>
                <w:szCs w:val="19"/>
              </w:rPr>
              <w:t xml:space="preserve">After pilot</w:t>
            </w:r>
          </w:p>
        </w:tc>
        <w:tc>
          <w:tcPr>
            <w:tcW w:type="dxa" w:w="2360"/>
            <w:tcBorders>
              <w:top w:val="single" w:color="C5D0E0" w:sz="1"/>
              <w:left w:val="single" w:color="C5D0E0" w:sz="1"/>
              <w:bottom w:val="single" w:color="C5D0E0" w:sz="1"/>
              <w:right w:val="single" w:color="C5D0E0" w:sz="1"/>
            </w:tcBorders>
            <w:shd w:fill="EEF2F7" w:val="clear"/>
            <w:tcMar>
              <w:top w:type="dxa" w:w="80"/>
              <w:left w:type="dxa" w:w="100"/>
              <w:bottom w:type="dxa" w:w="80"/>
              <w:right w:type="dxa" w:w="100"/>
            </w:tcMar>
          </w:tcPr>
          <w:p>
            <w:r>
              <w:rPr>
                <w:rFonts w:ascii="Arial" w:cs="Arial" w:eastAsia="Arial" w:hAnsi="Arial"/>
                <w:b w:val="false"/>
                <w:bCs w:val="false"/>
                <w:color w:val="1F2937"/>
                <w:sz w:val="19"/>
                <w:szCs w:val="19"/>
              </w:rPr>
              <w:t xml:space="preserve">Valuable but not on the critical path to first paying customer</w:t>
            </w:r>
          </w:p>
        </w:tc>
      </w:tr>
      <w:tr>
        <w:tc>
          <w:tcPr>
            <w:tcW w:type="dxa" w:w="700"/>
            <w:tcBorders>
              <w:top w:val="single" w:color="C5D0E0" w:sz="1"/>
              <w:left w:val="single" w:color="C5D0E0" w:sz="1"/>
              <w:bottom w:val="single" w:color="C5D0E0" w:sz="1"/>
              <w:right w:val="single" w:color="C5D0E0" w:sz="1"/>
            </w:tcBorders>
            <w:shd w:fill="FFFFFF" w:val="clear"/>
            <w:tcMar>
              <w:top w:type="dxa" w:w="80"/>
              <w:left w:type="dxa" w:w="100"/>
              <w:bottom w:type="dxa" w:w="80"/>
              <w:right w:type="dxa" w:w="100"/>
            </w:tcMar>
          </w:tcPr>
          <w:p>
            <w:r>
              <w:rPr>
                <w:rFonts w:ascii="Arial" w:cs="Arial" w:eastAsia="Arial" w:hAnsi="Arial"/>
                <w:b/>
                <w:bCs/>
                <w:color w:val="0F7B72"/>
                <w:sz w:val="19"/>
                <w:szCs w:val="19"/>
              </w:rPr>
              <w:t xml:space="preserve">9</w:t>
            </w:r>
          </w:p>
        </w:tc>
        <w:tc>
          <w:tcPr>
            <w:tcW w:type="dxa" w:w="3500"/>
            <w:tcBorders>
              <w:top w:val="single" w:color="C5D0E0" w:sz="1"/>
              <w:left w:val="single" w:color="C5D0E0" w:sz="1"/>
              <w:bottom w:val="single" w:color="C5D0E0" w:sz="1"/>
              <w:right w:val="single" w:color="C5D0E0"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Phase 5B — SOP Improvement Loop</w:t>
            </w:r>
          </w:p>
        </w:tc>
        <w:tc>
          <w:tcPr>
            <w:tcW w:type="dxa" w:w="2800"/>
            <w:tcBorders>
              <w:top w:val="single" w:color="C5D0E0" w:sz="1"/>
              <w:left w:val="single" w:color="C5D0E0" w:sz="1"/>
              <w:bottom w:val="single" w:color="C5D0E0" w:sz="1"/>
              <w:right w:val="single" w:color="C5D0E0"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Month 3+</w:t>
            </w:r>
          </w:p>
        </w:tc>
        <w:tc>
          <w:tcPr>
            <w:tcW w:type="dxa" w:w="2360"/>
            <w:tcBorders>
              <w:top w:val="single" w:color="C5D0E0" w:sz="1"/>
              <w:left w:val="single" w:color="C5D0E0" w:sz="1"/>
              <w:bottom w:val="single" w:color="C5D0E0" w:sz="1"/>
              <w:right w:val="single" w:color="C5D0E0"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This is your moat — build it right when you have real feedback data</w:t>
            </w:r>
          </w:p>
        </w:tc>
      </w:tr>
      <w:tr>
        <w:tc>
          <w:tcPr>
            <w:tcW w:type="dxa" w:w="700"/>
            <w:tcBorders>
              <w:top w:val="single" w:color="C5D0E0" w:sz="1"/>
              <w:left w:val="single" w:color="C5D0E0" w:sz="1"/>
              <w:bottom w:val="single" w:color="C5D0E0" w:sz="1"/>
              <w:right w:val="single" w:color="C5D0E0" w:sz="1"/>
            </w:tcBorders>
            <w:shd w:fill="EEF2F7" w:val="clear"/>
            <w:tcMar>
              <w:top w:type="dxa" w:w="80"/>
              <w:left w:type="dxa" w:w="100"/>
              <w:bottom w:type="dxa" w:w="80"/>
              <w:right w:type="dxa" w:w="100"/>
            </w:tcMar>
          </w:tcPr>
          <w:p>
            <w:r>
              <w:rPr>
                <w:rFonts w:ascii="Arial" w:cs="Arial" w:eastAsia="Arial" w:hAnsi="Arial"/>
                <w:b/>
                <w:bCs/>
                <w:color w:val="0F7B72"/>
                <w:sz w:val="19"/>
                <w:szCs w:val="19"/>
              </w:rPr>
              <w:t xml:space="preserve">10</w:t>
            </w:r>
          </w:p>
        </w:tc>
        <w:tc>
          <w:tcPr>
            <w:tcW w:type="dxa" w:w="3500"/>
            <w:tcBorders>
              <w:top w:val="single" w:color="C5D0E0" w:sz="1"/>
              <w:left w:val="single" w:color="C5D0E0" w:sz="1"/>
              <w:bottom w:val="single" w:color="C5D0E0" w:sz="1"/>
              <w:right w:val="single" w:color="C5D0E0" w:sz="1"/>
            </w:tcBorders>
            <w:shd w:fill="EEF2F7" w:val="clear"/>
            <w:tcMar>
              <w:top w:type="dxa" w:w="80"/>
              <w:left w:type="dxa" w:w="100"/>
              <w:bottom w:type="dxa" w:w="80"/>
              <w:right w:type="dxa" w:w="100"/>
            </w:tcMar>
          </w:tcPr>
          <w:p>
            <w:r>
              <w:rPr>
                <w:rFonts w:ascii="Arial" w:cs="Arial" w:eastAsia="Arial" w:hAnsi="Arial"/>
                <w:b w:val="false"/>
                <w:bCs w:val="false"/>
                <w:color w:val="1F2937"/>
                <w:sz w:val="19"/>
                <w:szCs w:val="19"/>
              </w:rPr>
              <w:t xml:space="preserve">Phase 6 — Multi-property &amp; Mobile</w:t>
            </w:r>
          </w:p>
        </w:tc>
        <w:tc>
          <w:tcPr>
            <w:tcW w:type="dxa" w:w="2800"/>
            <w:tcBorders>
              <w:top w:val="single" w:color="C5D0E0" w:sz="1"/>
              <w:left w:val="single" w:color="C5D0E0" w:sz="1"/>
              <w:bottom w:val="single" w:color="C5D0E0" w:sz="1"/>
              <w:right w:val="single" w:color="C5D0E0" w:sz="1"/>
            </w:tcBorders>
            <w:shd w:fill="EEF2F7" w:val="clear"/>
            <w:tcMar>
              <w:top w:type="dxa" w:w="80"/>
              <w:left w:type="dxa" w:w="100"/>
              <w:bottom w:type="dxa" w:w="80"/>
              <w:right w:type="dxa" w:w="100"/>
            </w:tcMar>
          </w:tcPr>
          <w:p>
            <w:r>
              <w:rPr>
                <w:rFonts w:ascii="Arial" w:cs="Arial" w:eastAsia="Arial" w:hAnsi="Arial"/>
                <w:b w:val="false"/>
                <w:bCs w:val="false"/>
                <w:color w:val="1F2937"/>
                <w:sz w:val="19"/>
                <w:szCs w:val="19"/>
              </w:rPr>
              <w:t xml:space="preserve">Month 4+</w:t>
            </w:r>
          </w:p>
        </w:tc>
        <w:tc>
          <w:tcPr>
            <w:tcW w:type="dxa" w:w="2360"/>
            <w:tcBorders>
              <w:top w:val="single" w:color="C5D0E0" w:sz="1"/>
              <w:left w:val="single" w:color="C5D0E0" w:sz="1"/>
              <w:bottom w:val="single" w:color="C5D0E0" w:sz="1"/>
              <w:right w:val="single" w:color="C5D0E0" w:sz="1"/>
            </w:tcBorders>
            <w:shd w:fill="EEF2F7" w:val="clear"/>
            <w:tcMar>
              <w:top w:type="dxa" w:w="80"/>
              <w:left w:type="dxa" w:w="100"/>
              <w:bottom w:type="dxa" w:w="80"/>
              <w:right w:type="dxa" w:w="100"/>
            </w:tcMar>
          </w:tcPr>
          <w:p>
            <w:r>
              <w:rPr>
                <w:rFonts w:ascii="Arial" w:cs="Arial" w:eastAsia="Arial" w:hAnsi="Arial"/>
                <w:b w:val="false"/>
                <w:bCs w:val="false"/>
                <w:color w:val="1F2937"/>
                <w:sz w:val="19"/>
                <w:szCs w:val="19"/>
              </w:rPr>
              <w:t xml:space="preserve">Necessary for scale, not for first customer</w:t>
            </w:r>
          </w:p>
        </w:tc>
      </w:tr>
    </w:tbl>
    <w:p>
      <w:pPr>
        <w:spacing w:after="0" w:before="120"/>
      </w:pPr>
    </w:p>
    <w:p>
      <w:pPr>
        <w:pBdr>
          <w:bottom w:val="single" w:color="0F7B72" w:sz="4" w:space="6"/>
        </w:pBdr>
        <w:spacing w:after="100" w:before="360"/>
      </w:pPr>
      <w:r>
        <w:rPr>
          <w:rFonts w:ascii="Arial" w:cs="Arial" w:eastAsia="Arial" w:hAnsi="Arial"/>
          <w:b/>
          <w:bCs/>
          <w:color w:val="0F7B72"/>
          <w:sz w:val="28"/>
          <w:szCs w:val="28"/>
        </w:rPr>
        <w:t xml:space="preserve">3.3  The Features to Stop Deprioritising</w:t>
      </w:r>
    </w:p>
    <w:p>
      <w:pPr>
        <w:spacing w:after="120" w:before="60"/>
      </w:pPr>
      <w:r>
        <w:rPr>
          <w:rFonts w:ascii="Arial" w:cs="Arial" w:eastAsia="Arial" w:hAnsi="Arial"/>
          <w:color w:val="1F2937"/>
          <w:sz w:val="22"/>
          <w:szCs w:val="22"/>
        </w:rPr>
        <w:t xml:space="preserve">Password reset (Phase 4C in your roadmap) is listed last. It should be done before launch. A PM who cannot reset their password will abandon the product and not come back. It is a 2-hour implementation. Do it in Week 1 alongside 3A.</w:t>
      </w:r>
    </w:p>
    <w:p>
      <w:pPr>
        <w:spacing w:after="120" w:before="60"/>
      </w:pPr>
      <w:r>
        <w:rPr>
          <w:rFonts w:ascii="Arial" w:cs="Arial" w:eastAsia="Arial" w:hAnsi="Arial"/>
          <w:color w:val="1F2937"/>
          <w:sz w:val="22"/>
          <w:szCs w:val="22"/>
        </w:rPr>
        <w:t xml:space="preserve">Mobile optimisation (Phase 6B) is listed as a future nice-to-have. This is a mistake. Your primary end-users are tenants, and tenants submit maintenance requests from their phones — often while standing in front of the broken appliance. If the chat UI is not usable on mobile, your self-resolution rate will be artificially low because tenants will give up mid-flow. Responsive mobile layout should be part of your pilot launch checklist, not Phase 6.</w:t>
      </w:r>
    </w:p>
    <w:p>
      <w:pPr>
        <w:pBdr>
          <w:bottom w:val="single" w:color="0F7B72" w:sz="4" w:space="6"/>
        </w:pBdr>
        <w:spacing w:after="100" w:before="360"/>
      </w:pPr>
      <w:r>
        <w:rPr>
          <w:rFonts w:ascii="Arial" w:cs="Arial" w:eastAsia="Arial" w:hAnsi="Arial"/>
          <w:b/>
          <w:bCs/>
          <w:color w:val="0F7B72"/>
          <w:sz w:val="28"/>
          <w:szCs w:val="28"/>
        </w:rPr>
        <w:t xml:space="preserve">3.4  The Metric That Should Gate Your Roadmap</w:t>
      </w:r>
    </w:p>
    <w:p>
      <w:pPr>
        <w:spacing w:after="120" w:before="60"/>
      </w:pPr>
      <w:r>
        <w:rPr>
          <w:rFonts w:ascii="Arial" w:cs="Arial" w:eastAsia="Arial" w:hAnsi="Arial"/>
          <w:color w:val="1F2937"/>
          <w:sz w:val="22"/>
          <w:szCs w:val="22"/>
        </w:rPr>
        <w:t xml:space="preserve">Before moving from pilot to soft launch, set a hard gate: 35% self-resolution rate sustained over 4 weeks of real usage. This means 35 out of every 100 tickets submitted by real tenants are resolved through the guided troubleshooting flow without PM escalation. If you cannot hit this number, the right response is to improve SOP quality and troubleshooting step generation — not to build more PM-facing features. The core value proposition of the product depends on this metric.</w:t>
      </w:r>
    </w:p>
    <w:p>
      <w:r>
        <w:br w:type="page"/>
      </w:r>
    </w:p>
    <w:p>
      <w:pPr>
        <w:pStyle w:val="Heading1"/>
      </w:pPr>
      <w:r>
        <w:rPr>
          <w:rFonts w:ascii="Arial" w:cs="Arial" w:eastAsia="Arial" w:hAnsi="Arial"/>
          <w:b/>
          <w:bCs/>
          <w:color w:val="1B2A4A"/>
          <w:sz w:val="40"/>
          <w:szCs w:val="40"/>
        </w:rPr>
        <w:t xml:space="preserve">Part 4: Pivot Potential</w:t>
      </w:r>
    </w:p>
    <w:p>
      <w:pPr>
        <w:pBdr>
          <w:bottom w:val="single" w:color="0F7B72" w:sz="4" w:space="6"/>
        </w:pBdr>
        <w:spacing w:after="100" w:before="360"/>
      </w:pPr>
      <w:r>
        <w:rPr>
          <w:rFonts w:ascii="Arial" w:cs="Arial" w:eastAsia="Arial" w:hAnsi="Arial"/>
          <w:b/>
          <w:bCs/>
          <w:color w:val="0F7B72"/>
          <w:sz w:val="28"/>
          <w:szCs w:val="28"/>
        </w:rPr>
        <w:t xml:space="preserve">4.1  What You Actually Built</w:t>
      </w:r>
    </w:p>
    <w:p>
      <w:pPr>
        <w:spacing w:after="120" w:before="60"/>
      </w:pPr>
      <w:r>
        <w:rPr>
          <w:rFonts w:ascii="Arial" w:cs="Arial" w:eastAsia="Arial" w:hAnsi="Arial"/>
          <w:color w:val="1F2937"/>
          <w:sz w:val="22"/>
          <w:szCs w:val="22"/>
        </w:rPr>
        <w:t xml:space="preserve">Before assessing pivot options, it helps to articulate what MaintenanceWise is at the technology layer, stripped of its residential property context. You have built an AI-powered first-responder system that: accepts a natural language description of a problem from a non-expert user, classifies it deterministically, detects safety hazards using hard rules, retrieves relevant standard operating procedures from a vector database, generates grounded step-by-step guidance with citations, walks the user through troubleshooting interactively, adapts based on feedback, escalates to a human expert when needed, and delivers a structured handoff summary with full audit trail.</w:t>
      </w:r>
    </w:p>
    <w:p>
      <w:pPr>
        <w:spacing w:after="120" w:before="60"/>
      </w:pPr>
      <w:r>
        <w:rPr>
          <w:rFonts w:ascii="Arial" w:cs="Arial" w:eastAsia="Arial" w:hAnsi="Arial"/>
          <w:color w:val="1F2937"/>
          <w:sz w:val="22"/>
          <w:szCs w:val="22"/>
        </w:rPr>
        <w:t xml:space="preserve">This pattern is not property-specific. It is applicable to any domain where: a non-expert user has a problem they need help triaging, an expert (human or SOP library) exists with domain knowledge, and the goal is to resolve the issue at the lowest cost tier before escalating.</w:t>
      </w:r>
    </w:p>
    <w:p>
      <w:pPr>
        <w:pBdr>
          <w:bottom w:val="single" w:color="0F7B72" w:sz="4" w:space="6"/>
        </w:pBdr>
        <w:spacing w:after="100" w:before="360"/>
      </w:pPr>
      <w:r>
        <w:rPr>
          <w:rFonts w:ascii="Arial" w:cs="Arial" w:eastAsia="Arial" w:hAnsi="Arial"/>
          <w:b/>
          <w:bCs/>
          <w:color w:val="0F7B72"/>
          <w:sz w:val="28"/>
          <w:szCs w:val="28"/>
        </w:rPr>
        <w:t xml:space="preserve">4.2  Adjacent Verticals Worth Evaluating</w:t>
      </w:r>
    </w:p>
    <w:p>
      <w:pPr>
        <w:spacing w:after="120" w:before="60"/>
      </w:pPr>
      <w:r>
        <w:rPr>
          <w:rFonts w:ascii="Arial" w:cs="Arial" w:eastAsia="Arial" w:hAnsi="Arial"/>
          <w:color w:val="1F2937"/>
          <w:sz w:val="22"/>
          <w:szCs w:val="22"/>
        </w:rPr>
        <w:t xml:space="preserve">Three verticals stand out as high-potential pivots or expansions, in decreasing order of proximity to your current build.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Vertical</w:t>
            </w:r>
          </w:p>
        </w:tc>
        <w:tc>
          <w:tcPr>
            <w:tcW w:type="dxa" w:w="58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Strategic Assessment</w:t>
            </w:r>
          </w:p>
        </w:tc>
      </w:tr>
      <w:tr>
        <w:tc>
          <w:tcPr>
            <w:tcW w:type="dxa" w:w="3500"/>
            <w:tcBorders>
              <w:top w:val="single" w:color="C5D0E0" w:sz="1"/>
              <w:left w:val="single" w:color="C5D0E0" w:sz="1"/>
              <w:bottom w:val="single" w:color="C5D0E0" w:sz="1"/>
              <w:right w:val="single" w:color="C5D0E0"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Homeowners' Associations (HOAs)</w:t>
            </w:r>
          </w:p>
        </w:tc>
        <w:tc>
          <w:tcPr>
            <w:tcW w:type="dxa" w:w="5860"/>
            <w:tcBorders>
              <w:top w:val="single" w:color="C5D0E0" w:sz="1"/>
              <w:left w:val="single" w:color="C5D0E0" w:sz="1"/>
              <w:bottom w:val="single" w:color="C5D0E0" w:sz="1"/>
              <w:right w:val="single" w:color="C5D0E0"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Structurally identical to residential PM but with an underserved software market. HOA management companies handle the same maintenance categories you support. The buyer is a professional HOA management firm, not a volunteer board. Market is less saturated by AI incumbents than residential PM. Easy extension of existing codebase.</w:t>
            </w:r>
          </w:p>
        </w:tc>
      </w:tr>
      <w:tr>
        <w:tc>
          <w:tcPr>
            <w:tcW w:type="dxa" w:w="3500"/>
            <w:tcBorders>
              <w:top w:val="single" w:color="C5D0E0" w:sz="1"/>
              <w:left w:val="single" w:color="C5D0E0" w:sz="1"/>
              <w:bottom w:val="single" w:color="C5D0E0" w:sz="1"/>
              <w:right w:val="single" w:color="C5D0E0" w:sz="1"/>
            </w:tcBorders>
            <w:shd w:fill="EEF2F7" w:val="clear"/>
            <w:tcMar>
              <w:top w:type="dxa" w:w="80"/>
              <w:left w:type="dxa" w:w="140"/>
              <w:bottom w:type="dxa" w:w="80"/>
              <w:right w:type="dxa" w:w="140"/>
            </w:tcMar>
          </w:tcPr>
          <w:p>
            <w:r>
              <w:rPr>
                <w:rFonts w:ascii="Arial" w:cs="Arial" w:eastAsia="Arial" w:hAnsi="Arial"/>
                <w:b w:val="false"/>
                <w:bCs w:val="false"/>
                <w:color w:val="1F2937"/>
                <w:sz w:val="20"/>
                <w:szCs w:val="20"/>
              </w:rPr>
              <w:t xml:space="preserve">Commercial Facilities Management</w:t>
            </w:r>
          </w:p>
        </w:tc>
        <w:tc>
          <w:tcPr>
            <w:tcW w:type="dxa" w:w="5860"/>
            <w:tcBorders>
              <w:top w:val="single" w:color="C5D0E0" w:sz="1"/>
              <w:left w:val="single" w:color="C5D0E0" w:sz="1"/>
              <w:bottom w:val="single" w:color="C5D0E0" w:sz="1"/>
              <w:right w:val="single" w:color="C5D0E0" w:sz="1"/>
            </w:tcBorders>
            <w:shd w:fill="EEF2F7" w:val="clear"/>
            <w:tcMar>
              <w:top w:type="dxa" w:w="80"/>
              <w:left w:type="dxa" w:w="140"/>
              <w:bottom w:type="dxa" w:w="80"/>
              <w:right w:type="dxa" w:w="140"/>
            </w:tcMar>
          </w:tcPr>
          <w:p>
            <w:r>
              <w:rPr>
                <w:rFonts w:ascii="Arial" w:cs="Arial" w:eastAsia="Arial" w:hAnsi="Arial"/>
                <w:b w:val="false"/>
                <w:bCs w:val="false"/>
                <w:color w:val="1F2937"/>
                <w:sz w:val="20"/>
                <w:szCs w:val="20"/>
              </w:rPr>
              <w:t xml:space="preserve">Larger market ($2.66B in 2025, growing at 13.3% CAGR vs 6-8% for residential PM). Corporate facilities teams, retail chains, and commercial landlords have extensive documented SOPs — better SOP libraries than residential PMs, which improves your triage quality immediately. Buyers have larger budgets. The challenge: longer sales cycles and more complex integrations with CMMS systems.</w:t>
            </w:r>
          </w:p>
        </w:tc>
      </w:tr>
      <w:tr>
        <w:tc>
          <w:tcPr>
            <w:tcW w:type="dxa" w:w="3500"/>
            <w:tcBorders>
              <w:top w:val="single" w:color="C5D0E0" w:sz="1"/>
              <w:left w:val="single" w:color="C5D0E0" w:sz="1"/>
              <w:bottom w:val="single" w:color="C5D0E0" w:sz="1"/>
              <w:right w:val="single" w:color="C5D0E0"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Field Service / Trade Businesses</w:t>
            </w:r>
          </w:p>
        </w:tc>
        <w:tc>
          <w:tcPr>
            <w:tcW w:type="dxa" w:w="5860"/>
            <w:tcBorders>
              <w:top w:val="single" w:color="C5D0E0" w:sz="1"/>
              <w:left w:val="single" w:color="C5D0E0" w:sz="1"/>
              <w:bottom w:val="single" w:color="C5D0E0" w:sz="1"/>
              <w:right w:val="single" w:color="C5D0E0"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Flip the user: instead of tenants, your first-responder is the dispatching coordinator at a plumbing, HVAC, or electrical company. Instead of preventing a work order, you are triaging inbound calls to route to the right technician with the right context. Similar RAG-over-SOPs pattern, different persona. Interesting pivot if residential PM proves too competitive.</w:t>
            </w:r>
          </w:p>
        </w:tc>
      </w:tr>
    </w:tbl>
    <w:p>
      <w:pPr>
        <w:spacing w:after="0" w:before="120"/>
      </w:pPr>
    </w:p>
    <w:p>
      <w:pPr>
        <w:pBdr>
          <w:bottom w:val="single" w:color="0F7B72" w:sz="4" w:space="6"/>
        </w:pBdr>
        <w:spacing w:after="100" w:before="360"/>
      </w:pPr>
      <w:r>
        <w:rPr>
          <w:rFonts w:ascii="Arial" w:cs="Arial" w:eastAsia="Arial" w:hAnsi="Arial"/>
          <w:b/>
          <w:bCs/>
          <w:color w:val="0F7B72"/>
          <w:sz w:val="28"/>
          <w:szCs w:val="28"/>
        </w:rPr>
        <w:t xml:space="preserve">4.3  The Pivot Recommendation</w:t>
      </w:r>
    </w:p>
    <w:p>
      <w:pPr>
        <w:spacing w:after="120" w:before="60"/>
      </w:pPr>
      <w:r>
        <w:rPr>
          <w:rFonts w:ascii="Arial" w:cs="Arial" w:eastAsia="Arial" w:hAnsi="Arial"/>
          <w:color w:val="1F2937"/>
          <w:sz w:val="22"/>
          <w:szCs w:val="22"/>
        </w:rPr>
        <w:t xml:space="preserve">Do not pivot right now. You do not yet have the data to know whether the residential PM market is actually too competitive for you — you have not run a single real user through the system. The competitive threat from AppFolio Realm-X is real, but it targets AppFolio's existing customer base (typically larger, multi-property PMs). There is a market segment below them — independent PMs and small management companies — that incumbents are not serving well with AI.</w:t>
      </w:r>
    </w:p>
    <w:p>
      <w:pPr>
        <w:spacing w:after="120" w:before="60"/>
      </w:pPr>
      <w:r>
        <w:rPr>
          <w:rFonts w:ascii="Arial" w:cs="Arial" w:eastAsia="Arial" w:hAnsi="Arial"/>
          <w:color w:val="1F2937"/>
          <w:sz w:val="22"/>
          <w:szCs w:val="22"/>
        </w:rPr>
        <w:t xml:space="preserve">What you should do now is build the tech in a way that makes vertical expansion cheap. Specifically: keep your SOP library and the domain-specific classification rules as configuration, not hardcoded logic. If your category taxonomy (plumbing, electrical, HVAC) and your SOP corpus are data, not code, then onboarding a new vertical is a data problem rather than an engineering problem. This architectural decision costs you almost nothing now and preserves enormous optionality.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B72" w:sz="6"/>
              <w:left w:val="single" w:color="0F7B72" w:sz="20"/>
              <w:bottom w:val="single" w:color="0F7B72" w:sz="6"/>
              <w:right w:val="single" w:color="0F7B72" w:sz="6"/>
            </w:tcBorders>
            <w:shd w:fill="EEF2F7" w:val="clear"/>
            <w:tcMar>
              <w:top w:type="dxa" w:w="120"/>
              <w:left w:type="dxa" w:w="200"/>
              <w:bottom w:type="dxa" w:w="120"/>
              <w:right w:type="dxa" w:w="200"/>
            </w:tcMar>
          </w:tcPr>
          <w:p>
            <w:pPr>
              <w:spacing w:after="60" w:before="0"/>
            </w:pPr>
            <w:r>
              <w:rPr>
                <w:rFonts w:ascii="Arial" w:cs="Arial" w:eastAsia="Arial" w:hAnsi="Arial"/>
                <w:b/>
                <w:bCs/>
                <w:color w:val="0F7B72"/>
                <w:sz w:val="20"/>
                <w:szCs w:val="20"/>
              </w:rPr>
              <w:t xml:space="preserve">Strategic Optionality Play</w:t>
            </w:r>
          </w:p>
          <w:p>
            <w:pPr>
              <w:spacing w:after="0" w:before="0"/>
            </w:pPr>
            <w:r>
              <w:rPr>
                <w:rFonts w:ascii="Arial" w:cs="Arial" w:eastAsia="Arial" w:hAnsi="Arial"/>
                <w:color w:val="1F2937"/>
                <w:sz w:val="20"/>
                <w:szCs w:val="20"/>
              </w:rPr>
              <w:t xml:space="preserve">After 2–3 months of pilot data, if your self-resolution rate is above 35% in residential, use it as proof-of-concept to approach one commercial facilities management company or HOA management firm. The pitch writes itself: "We achieve 35% self-resolution in residential. Your domain has better-documented SOPs. We can match or beat that for you."</w:t>
            </w:r>
          </w:p>
        </w:tc>
      </w:tr>
    </w:tbl>
    <w:p>
      <w:pPr>
        <w:spacing w:after="0" w:before="120"/>
      </w:pPr>
    </w:p>
    <w:p>
      <w:r>
        <w:br w:type="page"/>
      </w:r>
    </w:p>
    <w:p>
      <w:pPr>
        <w:pStyle w:val="Heading1"/>
      </w:pPr>
      <w:r>
        <w:rPr>
          <w:rFonts w:ascii="Arial" w:cs="Arial" w:eastAsia="Arial" w:hAnsi="Arial"/>
          <w:b/>
          <w:bCs/>
          <w:color w:val="1B2A4A"/>
          <w:sz w:val="40"/>
          <w:szCs w:val="40"/>
        </w:rPr>
        <w:t xml:space="preserve">Part 5: The 90-Day Action Plan</w:t>
      </w:r>
    </w:p>
    <w:p>
      <w:pPr>
        <w:spacing w:after="120" w:before="60"/>
      </w:pPr>
      <w:r>
        <w:rPr>
          <w:rFonts w:ascii="Arial" w:cs="Arial" w:eastAsia="Arial" w:hAnsi="Arial"/>
          <w:color w:val="1F2937"/>
          <w:sz w:val="22"/>
          <w:szCs w:val="22"/>
        </w:rPr>
        <w:t xml:space="preserve">Everything above resolves to the following sequenced priorities. Each item has a single owner (you), a clear done condition, and a stated reason for its position in the sequence.</w:t>
      </w:r>
    </w:p>
    <w:p>
      <w:pPr>
        <w:spacing w:after="0" w:before="120"/>
      </w:pPr>
    </w:p>
    <w:p>
      <w:pPr>
        <w:pBdr>
          <w:bottom w:val="single" w:color="0F7B72" w:sz="4" w:space="6"/>
        </w:pBdr>
        <w:spacing w:after="100" w:before="360"/>
      </w:pPr>
      <w:r>
        <w:rPr>
          <w:rFonts w:ascii="Arial" w:cs="Arial" w:eastAsia="Arial" w:hAnsi="Arial"/>
          <w:b/>
          <w:bCs/>
          <w:color w:val="0F7B72"/>
          <w:sz w:val="28"/>
          <w:szCs w:val="28"/>
        </w:rPr>
        <w:t xml:space="preserve">Days 1–14: Get to Real Users</w:t>
      </w:r>
    </w:p>
    <w:p>
      <w:pPr>
        <w:pStyle w:val="ListParagraph"/>
        <w:numPr>
          <w:ilvl w:val="0"/>
          <w:numId w:val="2"/>
        </w:numPr>
        <w:spacing w:after="40" w:before="40"/>
      </w:pPr>
      <w:r>
        <w:rPr>
          <w:rFonts w:ascii="Arial" w:cs="Arial" w:eastAsia="Arial" w:hAnsi="Arial"/>
          <w:b w:val="false"/>
          <w:bCs w:val="false"/>
          <w:color w:val="1F2937"/>
          <w:sz w:val="22"/>
          <w:szCs w:val="22"/>
        </w:rPr>
        <w:t xml:space="preserve">Ship Phase 3A: property creation, unit management, tenant invite link. Done condition: a PM can self-onboard one property with 5 units and invite a test tenant in under 15 minutes without your help.</w:t>
      </w:r>
    </w:p>
    <w:p>
      <w:pPr>
        <w:pStyle w:val="ListParagraph"/>
        <w:numPr>
          <w:ilvl w:val="0"/>
          <w:numId w:val="2"/>
        </w:numPr>
        <w:spacing w:after="40" w:before="40"/>
      </w:pPr>
      <w:r>
        <w:rPr>
          <w:rFonts w:ascii="Arial" w:cs="Arial" w:eastAsia="Arial" w:hAnsi="Arial"/>
          <w:b w:val="false"/>
          <w:bCs w:val="false"/>
          <w:color w:val="1F2937"/>
          <w:sz w:val="22"/>
          <w:szCs w:val="22"/>
        </w:rPr>
        <w:t xml:space="preserve">Add password reset. Done condition: Supabase email reset flow works end to end.</w:t>
      </w:r>
    </w:p>
    <w:p>
      <w:pPr>
        <w:pStyle w:val="ListParagraph"/>
        <w:numPr>
          <w:ilvl w:val="0"/>
          <w:numId w:val="2"/>
        </w:numPr>
        <w:spacing w:after="40" w:before="40"/>
      </w:pPr>
      <w:r>
        <w:rPr>
          <w:rFonts w:ascii="Arial" w:cs="Arial" w:eastAsia="Arial" w:hAnsi="Arial"/>
          <w:b w:val="false"/>
          <w:bCs w:val="false"/>
          <w:color w:val="1F2937"/>
          <w:sz w:val="22"/>
          <w:szCs w:val="22"/>
        </w:rPr>
        <w:t xml:space="preserve">Verify mobile chat UI. Done condition: the full triage flow is usable on an iPhone without horizontal scrolling or text cutoff.</w:t>
      </w:r>
    </w:p>
    <w:p>
      <w:pPr>
        <w:pStyle w:val="ListParagraph"/>
        <w:numPr>
          <w:ilvl w:val="0"/>
          <w:numId w:val="2"/>
        </w:numPr>
        <w:spacing w:after="40" w:before="40"/>
      </w:pPr>
      <w:r>
        <w:rPr>
          <w:rFonts w:ascii="Arial" w:cs="Arial" w:eastAsia="Arial" w:hAnsi="Arial"/>
          <w:b w:val="false"/>
          <w:bCs w:val="false"/>
          <w:color w:val="1F2937"/>
          <w:sz w:val="22"/>
          <w:szCs w:val="22"/>
        </w:rPr>
        <w:t xml:space="preserve">Seed SOPs: 5 per category for plumbing, electrical, HVAC, appliance, and pest. Done condition: each SOP produces a grounded step sequence with citations when tested manually.</w:t>
      </w:r>
    </w:p>
    <w:p>
      <w:pPr>
        <w:pStyle w:val="ListParagraph"/>
        <w:numPr>
          <w:ilvl w:val="0"/>
          <w:numId w:val="2"/>
        </w:numPr>
        <w:spacing w:after="40" w:before="40"/>
      </w:pPr>
      <w:r>
        <w:rPr>
          <w:rFonts w:ascii="Arial" w:cs="Arial" w:eastAsia="Arial" w:hAnsi="Arial"/>
          <w:b w:val="false"/>
          <w:bCs w:val="false"/>
          <w:color w:val="1F2937"/>
          <w:sz w:val="22"/>
          <w:szCs w:val="22"/>
        </w:rPr>
        <w:t xml:space="preserve">Deploy to production (Vercel + production Supabase). Done condition: a URL exists that you can send to someone who has never seen the codebase.</w:t>
      </w:r>
    </w:p>
    <w:p>
      <w:pPr>
        <w:pBdr>
          <w:bottom w:val="single" w:color="0F7B72" w:sz="4" w:space="6"/>
        </w:pBdr>
        <w:spacing w:after="100" w:before="360"/>
      </w:pPr>
      <w:r>
        <w:rPr>
          <w:rFonts w:ascii="Arial" w:cs="Arial" w:eastAsia="Arial" w:hAnsi="Arial"/>
          <w:b/>
          <w:bCs/>
          <w:color w:val="0F7B72"/>
          <w:sz w:val="28"/>
          <w:szCs w:val="28"/>
        </w:rPr>
        <w:t xml:space="preserve">Days 15–30: Ship Minimum Viable PM Workflow</w:t>
      </w:r>
    </w:p>
    <w:p>
      <w:pPr>
        <w:pStyle w:val="ListParagraph"/>
        <w:numPr>
          <w:ilvl w:val="0"/>
          <w:numId w:val="2"/>
        </w:numPr>
        <w:spacing w:after="40" w:before="40"/>
      </w:pPr>
      <w:r>
        <w:rPr>
          <w:rFonts w:ascii="Arial" w:cs="Arial" w:eastAsia="Arial" w:hAnsi="Arial"/>
          <w:b w:val="false"/>
          <w:bCs w:val="false"/>
          <w:color w:val="1F2937"/>
          <w:sz w:val="22"/>
          <w:szCs w:val="22"/>
        </w:rPr>
        <w:t xml:space="preserve">Ship Phase 3B: ticket assignment, status transitions (open → in progress → resolved → closed), PM internal notes, basic filtering by status and priority. Done condition: a PM can work their full daily ticket queue without leaving the dashboard.</w:t>
      </w:r>
    </w:p>
    <w:p>
      <w:pPr>
        <w:pStyle w:val="ListParagraph"/>
        <w:numPr>
          <w:ilvl w:val="0"/>
          <w:numId w:val="2"/>
        </w:numPr>
        <w:spacing w:after="40" w:before="40"/>
      </w:pPr>
      <w:r>
        <w:rPr>
          <w:rFonts w:ascii="Arial" w:cs="Arial" w:eastAsia="Arial" w:hAnsi="Arial"/>
          <w:b w:val="false"/>
          <w:bCs w:val="false"/>
          <w:color w:val="1F2937"/>
          <w:sz w:val="22"/>
          <w:szCs w:val="22"/>
        </w:rPr>
        <w:t xml:space="preserve">Ship Phase 4A (email notifications): new ticket to PM, status change to tenant. Done condition: PM does not need to log in to know a new ticket arrived.</w:t>
      </w:r>
    </w:p>
    <w:p>
      <w:pPr>
        <w:pStyle w:val="ListParagraph"/>
        <w:numPr>
          <w:ilvl w:val="0"/>
          <w:numId w:val="2"/>
        </w:numPr>
        <w:spacing w:after="40" w:before="40"/>
      </w:pPr>
      <w:r>
        <w:rPr>
          <w:rFonts w:ascii="Arial" w:cs="Arial" w:eastAsia="Arial" w:hAnsi="Arial"/>
          <w:b w:val="false"/>
          <w:bCs w:val="false"/>
          <w:color w:val="1F2937"/>
          <w:sz w:val="22"/>
          <w:szCs w:val="22"/>
        </w:rPr>
        <w:t xml:space="preserve">Recruit 2 pilot PMs. Target: property management companies managing 100–300 units. Done condition: signed pilot agreement (even a one-page email), payment method on file at $0.50/unit/month pilot rate, onboarding call scheduled.</w:t>
      </w:r>
    </w:p>
    <w:p>
      <w:pPr>
        <w:pBdr>
          <w:bottom w:val="single" w:color="0F7B72" w:sz="4" w:space="6"/>
        </w:pBdr>
        <w:spacing w:after="100" w:before="360"/>
      </w:pPr>
      <w:r>
        <w:rPr>
          <w:rFonts w:ascii="Arial" w:cs="Arial" w:eastAsia="Arial" w:hAnsi="Arial"/>
          <w:b/>
          <w:bCs/>
          <w:color w:val="0F7B72"/>
          <w:sz w:val="28"/>
          <w:szCs w:val="28"/>
        </w:rPr>
        <w:t xml:space="preserve">Days 31–60: Instrument and Learn</w:t>
      </w:r>
    </w:p>
    <w:p>
      <w:pPr>
        <w:pStyle w:val="ListParagraph"/>
        <w:numPr>
          <w:ilvl w:val="0"/>
          <w:numId w:val="2"/>
        </w:numPr>
        <w:spacing w:after="40" w:before="40"/>
      </w:pPr>
      <w:r>
        <w:rPr>
          <w:rFonts w:ascii="Arial" w:cs="Arial" w:eastAsia="Arial" w:hAnsi="Arial"/>
          <w:b w:val="false"/>
          <w:bCs w:val="false"/>
          <w:color w:val="1F2937"/>
          <w:sz w:val="22"/>
          <w:szCs w:val="22"/>
        </w:rPr>
        <w:t xml:space="preserve">Onboard pilot PMs and their tenants. Manually assist the first onboarding — you are learning what self-serve onboarding will need to handle.</w:t>
      </w:r>
    </w:p>
    <w:p>
      <w:pPr>
        <w:pStyle w:val="ListParagraph"/>
        <w:numPr>
          <w:ilvl w:val="0"/>
          <w:numId w:val="2"/>
        </w:numPr>
        <w:spacing w:after="40" w:before="40"/>
      </w:pPr>
      <w:r>
        <w:rPr>
          <w:rFonts w:ascii="Arial" w:cs="Arial" w:eastAsia="Arial" w:hAnsi="Arial"/>
          <w:b w:val="false"/>
          <w:bCs w:val="false"/>
          <w:color w:val="1F2937"/>
          <w:sz w:val="22"/>
          <w:szCs w:val="22"/>
        </w:rPr>
        <w:t xml:space="preserve">Instrument your key metrics: self-resolution rate, tickets created per day, PM time-to-first-response, tenant completion rate (did they finish the triage flow or abandon it?). Done condition: you can pull these numbers in under 5 minutes.</w:t>
      </w:r>
    </w:p>
    <w:p>
      <w:pPr>
        <w:pStyle w:val="ListParagraph"/>
        <w:numPr>
          <w:ilvl w:val="0"/>
          <w:numId w:val="2"/>
        </w:numPr>
        <w:spacing w:after="40" w:before="40"/>
      </w:pPr>
      <w:r>
        <w:rPr>
          <w:rFonts w:ascii="Arial" w:cs="Arial" w:eastAsia="Arial" w:hAnsi="Arial"/>
          <w:b w:val="false"/>
          <w:bCs w:val="false"/>
          <w:color w:val="1F2937"/>
          <w:sz w:val="22"/>
          <w:szCs w:val="22"/>
        </w:rPr>
        <w:t xml:space="preserve">Conduct weekly 30-minute calls with each pilot PM. Use a structured interview guide — do not just ask if they like it. Ask: what happened with this specific ticket? What did you do that the system should have done?</w:t>
      </w:r>
    </w:p>
    <w:p>
      <w:pPr>
        <w:pStyle w:val="ListParagraph"/>
        <w:numPr>
          <w:ilvl w:val="0"/>
          <w:numId w:val="2"/>
        </w:numPr>
        <w:spacing w:after="40" w:before="40"/>
      </w:pPr>
      <w:r>
        <w:rPr>
          <w:rFonts w:ascii="Arial" w:cs="Arial" w:eastAsia="Arial" w:hAnsi="Arial"/>
          <w:b w:val="false"/>
          <w:bCs w:val="false"/>
          <w:color w:val="1F2937"/>
          <w:sz w:val="22"/>
          <w:szCs w:val="22"/>
        </w:rPr>
        <w:t xml:space="preserve">Identify the top 3 SOP gaps based on low retrieval confidence scores and high PM escalation rates. Improve those SOPs. Done condition: escalation rate on the affected categories drops by at least 10 percentage points.</w:t>
      </w:r>
    </w:p>
    <w:p>
      <w:pPr>
        <w:pBdr>
          <w:bottom w:val="single" w:color="0F7B72" w:sz="4" w:space="6"/>
        </w:pBdr>
        <w:spacing w:after="100" w:before="360"/>
      </w:pPr>
      <w:r>
        <w:rPr>
          <w:rFonts w:ascii="Arial" w:cs="Arial" w:eastAsia="Arial" w:hAnsi="Arial"/>
          <w:b/>
          <w:bCs/>
          <w:color w:val="0F7B72"/>
          <w:sz w:val="28"/>
          <w:szCs w:val="28"/>
        </w:rPr>
        <w:t xml:space="preserve">Days 61–90: Prove the Model</w:t>
      </w:r>
    </w:p>
    <w:p>
      <w:pPr>
        <w:pStyle w:val="ListParagraph"/>
        <w:numPr>
          <w:ilvl w:val="0"/>
          <w:numId w:val="2"/>
        </w:numPr>
        <w:spacing w:after="40" w:before="40"/>
      </w:pPr>
      <w:r>
        <w:rPr>
          <w:rFonts w:ascii="Arial" w:cs="Arial" w:eastAsia="Arial" w:hAnsi="Arial"/>
          <w:b w:val="false"/>
          <w:bCs w:val="false"/>
          <w:color w:val="1F2937"/>
          <w:sz w:val="22"/>
          <w:szCs w:val="22"/>
        </w:rPr>
        <w:t xml:space="preserve">Tenant ticket history page (Phase 4B). Done condition: tenants can see their open and closed tickets and current status.</w:t>
      </w:r>
    </w:p>
    <w:p>
      <w:pPr>
        <w:pStyle w:val="ListParagraph"/>
        <w:numPr>
          <w:ilvl w:val="0"/>
          <w:numId w:val="2"/>
        </w:numPr>
        <w:spacing w:after="40" w:before="40"/>
      </w:pPr>
      <w:r>
        <w:rPr>
          <w:rFonts w:ascii="Arial" w:cs="Arial" w:eastAsia="Arial" w:hAnsi="Arial"/>
          <w:b w:val="false"/>
          <w:bCs w:val="false"/>
          <w:color w:val="1F2937"/>
          <w:sz w:val="22"/>
          <w:szCs w:val="22"/>
        </w:rPr>
        <w:t xml:space="preserve">ROI calculator on a simple landing page. Done condition: a PM who visits can input their unit count and average work order cost and see a projected annual savings figure.</w:t>
      </w:r>
    </w:p>
    <w:p>
      <w:pPr>
        <w:pStyle w:val="ListParagraph"/>
        <w:numPr>
          <w:ilvl w:val="0"/>
          <w:numId w:val="2"/>
        </w:numPr>
        <w:spacing w:after="40" w:before="40"/>
      </w:pPr>
      <w:r>
        <w:rPr>
          <w:rFonts w:ascii="Arial" w:cs="Arial" w:eastAsia="Arial" w:hAnsi="Arial"/>
          <w:b w:val="false"/>
          <w:bCs w:val="false"/>
          <w:color w:val="1F2937"/>
          <w:sz w:val="22"/>
          <w:szCs w:val="22"/>
        </w:rPr>
        <w:t xml:space="preserve">Self-resolution rate report: pull the first 60 days of pilot data, calculate your actual self-resolution rate, and write a one-page case study. Done condition: you have a document you can send to the next prospect that shows real numbers, not projections.</w:t>
      </w:r>
    </w:p>
    <w:p>
      <w:pPr>
        <w:pStyle w:val="ListParagraph"/>
        <w:numPr>
          <w:ilvl w:val="0"/>
          <w:numId w:val="2"/>
        </w:numPr>
        <w:spacing w:after="40" w:before="40"/>
      </w:pPr>
      <w:r>
        <w:rPr>
          <w:rFonts w:ascii="Arial" w:cs="Arial" w:eastAsia="Arial" w:hAnsi="Arial"/>
          <w:b w:val="false"/>
          <w:bCs w:val="false"/>
          <w:color w:val="1F2937"/>
          <w:sz w:val="22"/>
          <w:szCs w:val="22"/>
        </w:rPr>
        <w:t xml:space="preserve">Decide on ICP based on pilot data. After 60 days of real usage, you will know whether your current PM profile is the right buyer. Make the call: stay with small PMs, move upmarket to management companies, or explore integration with AppFolio/Buildium.</w:t>
      </w:r>
    </w:p>
    <w:p>
      <w:pPr>
        <w:pStyle w:val="ListParagraph"/>
        <w:numPr>
          <w:ilvl w:val="0"/>
          <w:numId w:val="2"/>
        </w:numPr>
        <w:spacing w:after="40" w:before="40"/>
      </w:pPr>
      <w:r>
        <w:rPr>
          <w:rFonts w:ascii="Arial" w:cs="Arial" w:eastAsia="Arial" w:hAnsi="Arial"/>
          <w:b w:val="false"/>
          <w:bCs w:val="false"/>
          <w:color w:val="1F2937"/>
          <w:sz w:val="22"/>
          <w:szCs w:val="22"/>
        </w:rPr>
        <w:t xml:space="preserve">Begin conversations with 2 additional PMs using the case study as your lead. Done condition: at least one of the two converts to a paying customer without a free trial.</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B72" w:sz="6"/>
              <w:left w:val="single" w:color="0F7B72" w:sz="20"/>
              <w:bottom w:val="single" w:color="0F7B72" w:sz="6"/>
              <w:right w:val="single" w:color="0F7B72" w:sz="6"/>
            </w:tcBorders>
            <w:shd w:fill="EEF2F7" w:val="clear"/>
            <w:tcMar>
              <w:top w:type="dxa" w:w="120"/>
              <w:left w:type="dxa" w:w="200"/>
              <w:bottom w:type="dxa" w:w="120"/>
              <w:right w:type="dxa" w:w="200"/>
            </w:tcMar>
          </w:tcPr>
          <w:p>
            <w:pPr>
              <w:spacing w:after="60" w:before="0"/>
            </w:pPr>
            <w:r>
              <w:rPr>
                <w:rFonts w:ascii="Arial" w:cs="Arial" w:eastAsia="Arial" w:hAnsi="Arial"/>
                <w:b/>
                <w:bCs/>
                <w:color w:val="0F7B72"/>
                <w:sz w:val="20"/>
                <w:szCs w:val="20"/>
              </w:rPr>
              <w:t xml:space="preserve">The Single Most Important Metric at Day 90</w:t>
            </w:r>
          </w:p>
          <w:p>
            <w:pPr>
              <w:spacing w:after="0" w:before="0"/>
            </w:pPr>
            <w:r>
              <w:rPr>
                <w:rFonts w:ascii="Arial" w:cs="Arial" w:eastAsia="Arial" w:hAnsi="Arial"/>
                <w:color w:val="1F2937"/>
                <w:sz w:val="20"/>
                <w:szCs w:val="20"/>
              </w:rPr>
              <w:t xml:space="preserve">Self-resolution rate across all pilot tickets. If it is above 30%, you have a product that works and a story to tell. If it is below 20%, you have a SOP quality problem that must be solved before scaling anything else. Do not confuse building more features with fixing the core value proposition.</w:t>
            </w:r>
          </w:p>
        </w:tc>
      </w:tr>
    </w:tbl>
    <w:p>
      <w:pPr>
        <w:spacing w:after="0" w:before="120"/>
      </w:pPr>
    </w:p>
    <w:p>
      <w:r>
        <w:br w:type="page"/>
      </w:r>
    </w:p>
    <w:p>
      <w:pPr>
        <w:pStyle w:val="Heading1"/>
      </w:pPr>
      <w:r>
        <w:rPr>
          <w:rFonts w:ascii="Arial" w:cs="Arial" w:eastAsia="Arial" w:hAnsi="Arial"/>
          <w:b/>
          <w:bCs/>
          <w:color w:val="1B2A4A"/>
          <w:sz w:val="40"/>
          <w:szCs w:val="40"/>
        </w:rPr>
        <w:t xml:space="preserve">Appendix: Key Risk Register</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Risk</w:t>
            </w:r>
          </w:p>
        </w:tc>
        <w:tc>
          <w:tcPr>
            <w:tcW w:type="dxa" w:w="58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Mitigation</w:t>
            </w:r>
          </w:p>
        </w:tc>
      </w:tr>
      <w:tr>
        <w:tc>
          <w:tcPr>
            <w:tcW w:type="dxa" w:w="3500"/>
            <w:tcBorders>
              <w:top w:val="single" w:color="C5D0E0" w:sz="1"/>
              <w:left w:val="single" w:color="C5D0E0" w:sz="1"/>
              <w:bottom w:val="single" w:color="C5D0E0" w:sz="1"/>
              <w:right w:val="single" w:color="C5D0E0"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AppFolio Realm-X captures the ICP before you reach them</w:t>
            </w:r>
          </w:p>
        </w:tc>
        <w:tc>
          <w:tcPr>
            <w:tcW w:type="dxa" w:w="5860"/>
            <w:tcBorders>
              <w:top w:val="single" w:color="C5D0E0" w:sz="1"/>
              <w:left w:val="single" w:color="C5D0E0" w:sz="1"/>
              <w:bottom w:val="single" w:color="C5D0E0" w:sz="1"/>
              <w:right w:val="single" w:color="C5D0E0"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Target PM companies not currently on AppFolio (many smaller firms still use email + spreadsheets or basic tools like Rentec Direct). Develop integration option as parallel track.</w:t>
            </w:r>
          </w:p>
        </w:tc>
      </w:tr>
      <w:tr>
        <w:tc>
          <w:tcPr>
            <w:tcW w:type="dxa" w:w="3500"/>
            <w:tcBorders>
              <w:top w:val="single" w:color="C5D0E0" w:sz="1"/>
              <w:left w:val="single" w:color="C5D0E0" w:sz="1"/>
              <w:bottom w:val="single" w:color="C5D0E0" w:sz="1"/>
              <w:right w:val="single" w:color="C5D0E0" w:sz="1"/>
            </w:tcBorders>
            <w:shd w:fill="EEF2F7" w:val="clear"/>
            <w:tcMar>
              <w:top w:type="dxa" w:w="80"/>
              <w:left w:type="dxa" w:w="140"/>
              <w:bottom w:type="dxa" w:w="80"/>
              <w:right w:type="dxa" w:w="140"/>
            </w:tcMar>
          </w:tcPr>
          <w:p>
            <w:r>
              <w:rPr>
                <w:rFonts w:ascii="Arial" w:cs="Arial" w:eastAsia="Arial" w:hAnsi="Arial"/>
                <w:b w:val="false"/>
                <w:bCs w:val="false"/>
                <w:color w:val="1F2937"/>
                <w:sz w:val="20"/>
                <w:szCs w:val="20"/>
              </w:rPr>
              <w:t xml:space="preserve">Self-resolution rate below target due to thin SOPs</w:t>
            </w:r>
          </w:p>
        </w:tc>
        <w:tc>
          <w:tcPr>
            <w:tcW w:type="dxa" w:w="5860"/>
            <w:tcBorders>
              <w:top w:val="single" w:color="C5D0E0" w:sz="1"/>
              <w:left w:val="single" w:color="C5D0E0" w:sz="1"/>
              <w:bottom w:val="single" w:color="C5D0E0" w:sz="1"/>
              <w:right w:val="single" w:color="C5D0E0" w:sz="1"/>
            </w:tcBorders>
            <w:shd w:fill="EEF2F7" w:val="clear"/>
            <w:tcMar>
              <w:top w:type="dxa" w:w="80"/>
              <w:left w:type="dxa" w:w="140"/>
              <w:bottom w:type="dxa" w:w="80"/>
              <w:right w:type="dxa" w:w="140"/>
            </w:tcMar>
          </w:tcPr>
          <w:p>
            <w:r>
              <w:rPr>
                <w:rFonts w:ascii="Arial" w:cs="Arial" w:eastAsia="Arial" w:hAnsi="Arial"/>
                <w:b w:val="false"/>
                <w:bCs w:val="false"/>
                <w:color w:val="1F2937"/>
                <w:sz w:val="20"/>
                <w:szCs w:val="20"/>
              </w:rPr>
              <w:t xml:space="preserve">Treat SOP quality as a first-class engineering problem. Assign a weekly hour to SOP review and improvement based on retrieval confidence data. Build authoring tools (Phase 5B) as soon as pilot data exists.</w:t>
            </w:r>
          </w:p>
        </w:tc>
      </w:tr>
      <w:tr>
        <w:tc>
          <w:tcPr>
            <w:tcW w:type="dxa" w:w="3500"/>
            <w:tcBorders>
              <w:top w:val="single" w:color="C5D0E0" w:sz="1"/>
              <w:left w:val="single" w:color="C5D0E0" w:sz="1"/>
              <w:bottom w:val="single" w:color="C5D0E0" w:sz="1"/>
              <w:right w:val="single" w:color="C5D0E0"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PMs do not check the dashboard (tool sits unused)</w:t>
            </w:r>
          </w:p>
        </w:tc>
        <w:tc>
          <w:tcPr>
            <w:tcW w:type="dxa" w:w="5860"/>
            <w:tcBorders>
              <w:top w:val="single" w:color="C5D0E0" w:sz="1"/>
              <w:left w:val="single" w:color="C5D0E0" w:sz="1"/>
              <w:bottom w:val="single" w:color="C5D0E0" w:sz="1"/>
              <w:right w:val="single" w:color="C5D0E0"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Phase 4A email notifications are non-negotiable before pilot launch. Daily digest email (one email summarising all ticket activity) is more PM-friendly than per-event alerts.</w:t>
            </w:r>
          </w:p>
        </w:tc>
      </w:tr>
      <w:tr>
        <w:tc>
          <w:tcPr>
            <w:tcW w:type="dxa" w:w="3500"/>
            <w:tcBorders>
              <w:top w:val="single" w:color="C5D0E0" w:sz="1"/>
              <w:left w:val="single" w:color="C5D0E0" w:sz="1"/>
              <w:bottom w:val="single" w:color="C5D0E0" w:sz="1"/>
              <w:right w:val="single" w:color="C5D0E0" w:sz="1"/>
            </w:tcBorders>
            <w:shd w:fill="EEF2F7" w:val="clear"/>
            <w:tcMar>
              <w:top w:type="dxa" w:w="80"/>
              <w:left w:type="dxa" w:w="140"/>
              <w:bottom w:type="dxa" w:w="80"/>
              <w:right w:type="dxa" w:w="140"/>
            </w:tcMar>
          </w:tcPr>
          <w:p>
            <w:r>
              <w:rPr>
                <w:rFonts w:ascii="Arial" w:cs="Arial" w:eastAsia="Arial" w:hAnsi="Arial"/>
                <w:b w:val="false"/>
                <w:bCs w:val="false"/>
                <w:color w:val="1F2937"/>
                <w:sz w:val="20"/>
                <w:szCs w:val="20"/>
              </w:rPr>
              <w:t xml:space="preserve">Tenants abandon the triage flow before completing</w:t>
            </w:r>
          </w:p>
        </w:tc>
        <w:tc>
          <w:tcPr>
            <w:tcW w:type="dxa" w:w="5860"/>
            <w:tcBorders>
              <w:top w:val="single" w:color="C5D0E0" w:sz="1"/>
              <w:left w:val="single" w:color="C5D0E0" w:sz="1"/>
              <w:bottom w:val="single" w:color="C5D0E0" w:sz="1"/>
              <w:right w:val="single" w:color="C5D0E0" w:sz="1"/>
            </w:tcBorders>
            <w:shd w:fill="EEF2F7" w:val="clear"/>
            <w:tcMar>
              <w:top w:type="dxa" w:w="80"/>
              <w:left w:type="dxa" w:w="140"/>
              <w:bottom w:type="dxa" w:w="80"/>
              <w:right w:type="dxa" w:w="140"/>
            </w:tcMar>
          </w:tcPr>
          <w:p>
            <w:r>
              <w:rPr>
                <w:rFonts w:ascii="Arial" w:cs="Arial" w:eastAsia="Arial" w:hAnsi="Arial"/>
                <w:b w:val="false"/>
                <w:bCs w:val="false"/>
                <w:color w:val="1F2937"/>
                <w:sz w:val="20"/>
                <w:szCs w:val="20"/>
              </w:rPr>
              <w:t xml:space="preserve">Instrument drop-off rate at each triage state. The most common abandonment points are typically media upload (too cumbersome) and long troubleshooting sequences (more than 5 steps). Shorten and simplify.</w:t>
            </w:r>
          </w:p>
        </w:tc>
      </w:tr>
      <w:tr>
        <w:tc>
          <w:tcPr>
            <w:tcW w:type="dxa" w:w="3500"/>
            <w:tcBorders>
              <w:top w:val="single" w:color="C5D0E0" w:sz="1"/>
              <w:left w:val="single" w:color="C5D0E0" w:sz="1"/>
              <w:bottom w:val="single" w:color="C5D0E0" w:sz="1"/>
              <w:right w:val="single" w:color="C5D0E0"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OpenAI cost erodes margin at scale</w:t>
            </w:r>
          </w:p>
        </w:tc>
        <w:tc>
          <w:tcPr>
            <w:tcW w:type="dxa" w:w="5860"/>
            <w:tcBorders>
              <w:top w:val="single" w:color="C5D0E0" w:sz="1"/>
              <w:left w:val="single" w:color="C5D0E0" w:sz="1"/>
              <w:bottom w:val="single" w:color="C5D0E0" w:sz="1"/>
              <w:right w:val="single" w:color="C5D0E0"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Regime is already cost-optimised (gpt-4o-mini, regex fast-path for ~60% of feedback). Monitor cost per ticket at pilot scale. If self-resolution rate is high, LLM calls per resolved ticket are low — this is a virtuous cycle.</w:t>
            </w:r>
          </w:p>
        </w:tc>
      </w:tr>
      <w:tr>
        <w:tc>
          <w:tcPr>
            <w:tcW w:type="dxa" w:w="3500"/>
            <w:tcBorders>
              <w:top w:val="single" w:color="C5D0E0" w:sz="1"/>
              <w:left w:val="single" w:color="C5D0E0" w:sz="1"/>
              <w:bottom w:val="single" w:color="C5D0E0" w:sz="1"/>
              <w:right w:val="single" w:color="C5D0E0" w:sz="1"/>
            </w:tcBorders>
            <w:shd w:fill="EEF2F7" w:val="clear"/>
            <w:tcMar>
              <w:top w:type="dxa" w:w="80"/>
              <w:left w:type="dxa" w:w="140"/>
              <w:bottom w:type="dxa" w:w="80"/>
              <w:right w:type="dxa" w:w="140"/>
            </w:tcMar>
          </w:tcPr>
          <w:p>
            <w:r>
              <w:rPr>
                <w:rFonts w:ascii="Arial" w:cs="Arial" w:eastAsia="Arial" w:hAnsi="Arial"/>
                <w:b w:val="false"/>
                <w:bCs w:val="false"/>
                <w:color w:val="1F2937"/>
                <w:sz w:val="20"/>
                <w:szCs w:val="20"/>
              </w:rPr>
              <w:t xml:space="preserve">Pivot to facilities management proves harder than expected</w:t>
            </w:r>
          </w:p>
        </w:tc>
        <w:tc>
          <w:tcPr>
            <w:tcW w:type="dxa" w:w="5860"/>
            <w:tcBorders>
              <w:top w:val="single" w:color="C5D0E0" w:sz="1"/>
              <w:left w:val="single" w:color="C5D0E0" w:sz="1"/>
              <w:bottom w:val="single" w:color="C5D0E0" w:sz="1"/>
              <w:right w:val="single" w:color="C5D0E0" w:sz="1"/>
            </w:tcBorders>
            <w:shd w:fill="EEF2F7" w:val="clear"/>
            <w:tcMar>
              <w:top w:type="dxa" w:w="80"/>
              <w:left w:type="dxa" w:w="140"/>
              <w:bottom w:type="dxa" w:w="80"/>
              <w:right w:type="dxa" w:w="140"/>
            </w:tcMar>
          </w:tcPr>
          <w:p>
            <w:r>
              <w:rPr>
                <w:rFonts w:ascii="Arial" w:cs="Arial" w:eastAsia="Arial" w:hAnsi="Arial"/>
                <w:b w:val="false"/>
                <w:bCs w:val="false"/>
                <w:color w:val="1F2937"/>
                <w:sz w:val="20"/>
                <w:szCs w:val="20"/>
              </w:rPr>
              <w:t xml:space="preserve">Do not attempt a pivot without 90 days of residential data. Use pilot outcomes to de-risk the adjacency thesis before investing engineering time.</w:t>
            </w:r>
          </w:p>
        </w:tc>
      </w:tr>
    </w:tbl>
    <w:p>
      <w:pPr>
        <w:pBdr>
          <w:top w:val="single" w:color="C5D0E0" w:sz="4" w:space="10"/>
        </w:pBdr>
        <w:spacing w:after="80" w:before="400"/>
      </w:pPr>
      <w:r>
        <w:rPr>
          <w:rFonts w:ascii="Arial" w:cs="Arial" w:eastAsia="Arial" w:hAnsi="Arial"/>
          <w:color w:val="AAAAAA"/>
          <w:sz w:val="18"/>
          <w:szCs w:val="18"/>
        </w:rPr>
        <w:t xml:space="preserve">This document is confidential and prepared for internal strategic use only.  April 2026.</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0E0" w:sz="4" w:space="6"/>
      </w:pBdr>
      <w:spacing w:after="0" w:before="0"/>
      <w:jc w:val="right"/>
    </w:pP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0E0" w:sz="4" w:space="6"/>
      </w:pBdr>
      <w:spacing w:after="0" w:before="0"/>
    </w:pPr>
    <w:r>
      <w:rPr>
        <w:rFonts w:ascii="Arial" w:cs="Arial" w:eastAsia="Arial" w:hAnsi="Arial"/>
        <w:color w:val="888888"/>
        <w:sz w:val="18"/>
        <w:szCs w:val="18"/>
      </w:rPr>
      <w:t xml:space="preserve">MaintenanceWise — Strategic Action Plan  |  Confidential</w:t>
    </w:r>
    <w:r>
      <w:rPr>
        <w:rFonts w:ascii="Arial" w:cs="Arial" w:eastAsia="Arial" w:hAnsi="Arial"/>
        <w:color w:val="AAAAAA"/>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8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A4A"/>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0F7B72"/>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2026-04-02T23:06:28.142Z</dcterms:created>
  <dcterms:modified xsi:type="dcterms:W3CDTF">2026-04-02T23:06:28.142Z</dcterms:modified>
</cp:coreProperties>
</file>

<file path=docProps/custom.xml><?xml version="1.0" encoding="utf-8"?>
<Properties xmlns="http://schemas.openxmlformats.org/officeDocument/2006/custom-properties" xmlns:vt="http://schemas.openxmlformats.org/officeDocument/2006/docPropsVTypes"/>
</file>