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p14">
  <w:body>
    <w:p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98" name="CoverColorBg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0D1B2A"/>
                        </a:gs>
                        <a:gs pos="100000">
                          <a:srgbClr val="1B3A5C"/>
                        </a:gs>
                      </a:gsLst>
                      <a:lin ang="5400000" scaled="1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FFFFFF"/>
          <w:sz w:val="60"/>
          <w:szCs w:val="60"/>
        </w:rPr>
        <w:t xml:space="preserve">安全AI Agent</w:t>
      </w: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FFFFFF"/>
          <w:sz w:val="52"/>
          <w:szCs w:val="52"/>
        </w:rPr>
        <w:t xml:space="preserve">多智能体系统</w:t>
      </w:r>
    </w:p>
    <w:p>
      <w:pPr>
        <w:spacing w:before="4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B0C4DE"/>
          <w:sz w:val="28"/>
          <w:szCs w:val="28"/>
        </w:rPr>
        <w:t xml:space="preserve">项目开发文档 v1.0</w:t>
      </w:r>
    </w:p>
    <w:p>
      <w:pPr>
        <w:spacing w:before="200" w:line="20" w:lineRule="exact"/>
      </w:pPr>
    </w:p>
    <w:p>
      <w:pPr>
        <w:pBdr>
          <w:bottom w:val="single" w:color="4A90D9" w:sz="6"/>
        </w:pBdr>
        <w:spacing w:after="200"/>
      </w:pPr>
    </w:p>
    <w:p>
      <w:pPr>
        <w:spacing w:before="6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B0C4DE"/>
          <w:sz w:val="22"/>
          <w:szCs w:val="22"/>
        </w:rPr>
        <w:t xml:space="preserve">基于LangGraph的分层多智能体安全运营架构</w:t>
      </w:r>
    </w:p>
    <w:p>
      <w:pPr>
        <w:spacing w:before="16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87CEEB"/>
          <w:sz w:val="20"/>
          <w:szCs w:val="20"/>
        </w:rPr>
        <w:t xml:space="preserve">文档密级：内部公开</w:t>
      </w: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87CEEB"/>
          <w:sz w:val="20"/>
          <w:szCs w:val="20"/>
        </w:rPr>
        <w:t xml:space="preserve">2026年7月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  <w:jc w:val="center"/>
      </w:pPr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目  录</w:t>
      </w:r>
    </w:p>
    <w:p>
      <w:pPr>
        <w:spacing w:before="200" w:line="20" w:lineRule="exact"/>
      </w:pPr>
    </w:p>
    <w:sdt>
      <w:sdtPr>
        <w:alias w:val="目录"/>
      </w:sdtPr>
      <w:sdtContent>
        <w:p>
          <w:pPr>
            <w:pStyle w:val="TOC1"/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ch1">
            <w:r>
              <w:t xml:space="default">第一章  项目概述与背景</w:t>
            </w:r>
          </w:hyperlink>
        </w:p>
        <w:p>
          <w:pPr>
            <w:pStyle w:val="TOC2"/>
          </w:pPr>
          <w:hyperlink w:history="1" w:anchor="_toc_auto_2">
            <w:r>
              <w:t xml:space="default">1.1  项目背景</w:t>
            </w:r>
          </w:hyperlink>
        </w:p>
        <w:p>
          <w:pPr>
            <w:pStyle w:val="TOC2"/>
          </w:pPr>
          <w:hyperlink w:history="1" w:anchor="_toc_auto_3">
            <w:r>
              <w:t xml:space="default">1.2  项目定位与目标</w:t>
            </w:r>
          </w:hyperlink>
        </w:p>
        <w:p>
          <w:pPr>
            <w:pStyle w:val="TOC2"/>
          </w:pPr>
          <w:hyperlink w:history="1" w:anchor="_toc_auto_4">
            <w:r>
              <w:t xml:space="default">1.3  文档范围与读者</w:t>
            </w:r>
          </w:hyperlink>
        </w:p>
        <w:p>
          <w:pPr>
            <w:pStyle w:val="TOC1"/>
          </w:pPr>
          <w:hyperlink w:history="1" w:anchor="_ch2">
            <w:r>
              <w:t xml:space="default">第二章  系统总体架构设计</w:t>
            </w:r>
          </w:hyperlink>
        </w:p>
        <w:p>
          <w:pPr>
            <w:pStyle w:val="TOC2"/>
          </w:pPr>
          <w:hyperlink w:history="1" w:anchor="_toc_auto_6">
            <w:r>
              <w:t xml:space="default">2.1  设计原则</w:t>
            </w:r>
          </w:hyperlink>
        </w:p>
        <w:p>
          <w:pPr>
            <w:pStyle w:val="TOC2"/>
          </w:pPr>
          <w:hyperlink w:history="1" w:anchor="_toc_auto_7">
            <w:r>
              <w:t xml:space="default">2.2  四层架构总览</w:t>
            </w:r>
          </w:hyperlink>
        </w:p>
        <w:p>
          <w:pPr>
            <w:pStyle w:val="TOC2"/>
          </w:pPr>
          <w:hyperlink w:history="1" w:anchor="_toc_auto_8">
            <w:r>
              <w:t xml:space="default">2.3  数据流转时序</w:t>
            </w:r>
          </w:hyperlink>
        </w:p>
        <w:p>
          <w:pPr>
            <w:pStyle w:val="TOC1"/>
          </w:pPr>
          <w:hyperlink w:history="1" w:anchor="_ch3">
            <w:r>
              <w:t xml:space="default">第三章  数据源与预处理层</w:t>
            </w:r>
          </w:hyperlink>
        </w:p>
        <w:p>
          <w:pPr>
            <w:pStyle w:val="TOC2"/>
          </w:pPr>
          <w:hyperlink w:history="1" w:anchor="_toc_auto_10">
            <w:r>
              <w:t xml:space="default">3.1  数据源接入</w:t>
            </w:r>
          </w:hyperlink>
        </w:p>
        <w:p>
          <w:pPr>
            <w:pStyle w:val="TOC2"/>
          </w:pPr>
          <w:hyperlink w:history="1" w:anchor="_toc_auto_11">
            <w:r>
              <w:t xml:space="default">3.2  数据清洗与脱敏引擎</w:t>
            </w:r>
          </w:hyperlink>
        </w:p>
        <w:p>
          <w:pPr>
            <w:pStyle w:val="TOC3"/>
          </w:pPr>
          <w:hyperlink w:history="1" w:anchor="_toc_auto_12">
            <w:r>
              <w:t xml:space="default">3.2.1  正则规则引擎</w:t>
            </w:r>
          </w:hyperlink>
        </w:p>
        <w:p>
          <w:pPr>
            <w:pStyle w:val="TOC3"/>
          </w:pPr>
          <w:hyperlink w:history="1" w:anchor="_toc_auto_13">
            <w:r>
              <w:t xml:space="default">3.2.2  脱敏处理模块</w:t>
            </w:r>
          </w:hyperlink>
        </w:p>
        <w:p>
          <w:pPr>
            <w:pStyle w:val="TOC3"/>
          </w:pPr>
          <w:hyperlink w:history="1" w:anchor="_toc_auto_14">
            <w:r>
              <w:t xml:space="default">3.2.3  IOC标准化提取</w:t>
            </w:r>
          </w:hyperlink>
        </w:p>
        <w:p>
          <w:pPr>
            <w:pStyle w:val="TOC2"/>
          </w:pPr>
          <w:hyperlink w:history="1" w:anchor="_toc_auto_15">
            <w:r>
              <w:t xml:space="default">3.3  性能指标与SLA</w:t>
            </w:r>
          </w:hyperlink>
        </w:p>
        <w:p>
          <w:pPr>
            <w:pStyle w:val="TOC1"/>
          </w:pPr>
          <w:hyperlink w:history="1" w:anchor="_ch4">
            <w:r>
              <w:t xml:space="default">第四章  编排与智能体层</w:t>
            </w:r>
          </w:hyperlink>
        </w:p>
        <w:p>
          <w:pPr>
            <w:pStyle w:val="TOC2"/>
          </w:pPr>
          <w:hyperlink w:history="1" w:anchor="_toc_auto_17">
            <w:r>
              <w:t xml:space="default">4.1  LangGraph状态机引擎</w:t>
            </w:r>
          </w:hyperlink>
        </w:p>
        <w:p>
          <w:pPr>
            <w:pStyle w:val="TOC3"/>
          </w:pPr>
          <w:hyperlink w:history="1" w:anchor="_toc_auto_18">
            <w:r>
              <w:t xml:space="default">4.1.1  主图状态定义</w:t>
            </w:r>
          </w:hyperlink>
        </w:p>
        <w:p>
          <w:pPr>
            <w:pStyle w:val="TOC3"/>
          </w:pPr>
          <w:hyperlink w:history="1" w:anchor="_toc_auto_19">
            <w:r>
              <w:t xml:space="default">4.1.2  子图状态隔离设计</w:t>
            </w:r>
          </w:hyperlink>
        </w:p>
        <w:p>
          <w:pPr>
            <w:pStyle w:val="TOC2"/>
          </w:pPr>
          <w:hyperlink w:history="1" w:anchor="_toc_auto_20">
            <w:r>
              <w:t xml:space="default">4.2  调度中枢Agent</w:t>
            </w:r>
          </w:hyperlink>
        </w:p>
        <w:p>
          <w:pPr>
            <w:pStyle w:val="TOC2"/>
          </w:pPr>
          <w:hyperlink w:history="1" w:anchor="_toc_auto_21">
            <w:r>
              <w:t xml:space="default">4.3  子图A：研判与情报</w:t>
            </w:r>
          </w:hyperlink>
        </w:p>
        <w:p>
          <w:pPr>
            <w:pStyle w:val="TOC3"/>
          </w:pPr>
          <w:hyperlink w:history="1" w:anchor="_toc_auto_22">
            <w:r>
              <w:t xml:space="default">4.3.1  情报专家Agent</w:t>
            </w:r>
          </w:hyperlink>
        </w:p>
        <w:p>
          <w:pPr>
            <w:pStyle w:val="TOC3"/>
          </w:pPr>
          <w:hyperlink w:history="1" w:anchor="_toc_auto_23">
            <w:r>
              <w:t xml:space="default">4.3.2  研判专家Agent</w:t>
            </w:r>
          </w:hyperlink>
        </w:p>
        <w:p>
          <w:pPr>
            <w:pStyle w:val="TOC2"/>
          </w:pPr>
          <w:hyperlink w:history="1" w:anchor="_toc_auto_24">
            <w:r>
              <w:t xml:space="default">4.4  子图B：漏洞挖掘（Vuln-Hunter）</w:t>
            </w:r>
          </w:hyperlink>
        </w:p>
        <w:p>
          <w:pPr>
            <w:pStyle w:val="TOC3"/>
          </w:pPr>
          <w:hyperlink w:history="1" w:anchor="_toc_auto_25">
            <w:r>
              <w:t xml:space="default">4.4.1  7维记忆循环架构</w:t>
            </w:r>
          </w:hyperlink>
        </w:p>
        <w:p>
          <w:pPr>
            <w:pStyle w:val="TOC3"/>
          </w:pPr>
          <w:hyperlink w:history="1" w:anchor="_toc_auto_26">
            <w:r>
              <w:t xml:space="default">4.4.2  约束驱动生成策略</w:t>
            </w:r>
          </w:hyperlink>
        </w:p>
        <w:p>
          <w:pPr>
            <w:pStyle w:val="TOC2"/>
          </w:pPr>
          <w:hyperlink w:history="1" w:anchor="_toc_auto_27">
            <w:r>
              <w:t xml:space="default">4.5  子图C：响应执行</w:t>
            </w:r>
          </w:hyperlink>
        </w:p>
        <w:p>
          <w:pPr>
            <w:pStyle w:val="TOC2"/>
          </w:pPr>
          <w:hyperlink w:history="1" w:anchor="_toc_auto_28">
            <w:r>
              <w:t xml:space="default">4.6  记忆管理器</w:t>
            </w:r>
          </w:hyperlink>
        </w:p>
        <w:p>
          <w:pPr>
            <w:pStyle w:val="TOC1"/>
          </w:pPr>
          <w:hyperlink w:history="1" w:anchor="_ch5">
            <w:r>
              <w:t xml:space="default">第五章  知识与工具层</w:t>
            </w:r>
          </w:hyperlink>
        </w:p>
        <w:p>
          <w:pPr>
            <w:pStyle w:val="TOC2"/>
          </w:pPr>
          <w:hyperlink w:history="1" w:anchor="_toc_auto_30">
            <w:r>
              <w:t xml:space="default">5.1  GraphRAG混合检索引擎</w:t>
            </w:r>
          </w:hyperlink>
        </w:p>
        <w:p>
          <w:pPr>
            <w:pStyle w:val="TOC3"/>
          </w:pPr>
          <w:hyperlink w:history="1" w:anchor="_toc_auto_31">
            <w:r>
              <w:t xml:space="default">5.1.1  向量检索模块（Milvus）</w:t>
            </w:r>
          </w:hyperlink>
        </w:p>
        <w:p>
          <w:pPr>
            <w:pStyle w:val="TOC3"/>
          </w:pPr>
          <w:hyperlink w:history="1" w:anchor="_toc_auto_32">
            <w:r>
              <w:t xml:space="default">5.1.2  图谱检索模块（Neo4j）</w:t>
            </w:r>
          </w:hyperlink>
        </w:p>
        <w:p>
          <w:pPr>
            <w:pStyle w:val="TOC3"/>
          </w:pPr>
          <w:hyperlink w:history="1" w:anchor="_toc_auto_33">
            <w:r>
              <w:t xml:space="default">5.1.3  查询路由与结果融合</w:t>
            </w:r>
          </w:hyperlink>
        </w:p>
        <w:p>
          <w:pPr>
            <w:pStyle w:val="TOC2"/>
          </w:pPr>
          <w:hyperlink w:history="1" w:anchor="_toc_auto_34">
            <w:r>
              <w:t xml:space="default">5.2  统一API工具箱</w:t>
            </w:r>
          </w:hyperlink>
        </w:p>
        <w:p>
          <w:pPr>
            <w:pStyle w:val="TOC2"/>
          </w:pPr>
          <w:hyperlink w:history="1" w:anchor="_toc_auto_35">
            <w:r>
              <w:t xml:space="default">5.3  模型基座</w:t>
            </w:r>
          </w:hyperlink>
        </w:p>
        <w:p>
          <w:pPr>
            <w:pStyle w:val="TOC1"/>
          </w:pPr>
          <w:hyperlink w:history="1" w:anchor="_ch6">
            <w:r>
              <w:t xml:space="default">第六章  执行与隔离层</w:t>
            </w:r>
          </w:hyperlink>
        </w:p>
        <w:p>
          <w:pPr>
            <w:pStyle w:val="TOC2"/>
          </w:pPr>
          <w:hyperlink w:history="1" w:anchor="_toc_auto_37">
            <w:r>
              <w:t xml:space="default">6.1  隔离Docker沙箱集群</w:t>
            </w:r>
          </w:hyperlink>
        </w:p>
        <w:p>
          <w:pPr>
            <w:pStyle w:val="TOC2"/>
          </w:pPr>
          <w:hyperlink w:history="1" w:anchor="_toc_auto_38">
            <w:r>
              <w:t xml:space="default">6.2  静态语法预检器</w:t>
            </w:r>
          </w:hyperlink>
        </w:p>
        <w:p>
          <w:pPr>
            <w:pStyle w:val="TOC3"/>
          </w:pPr>
          <w:hyperlink w:history="1" w:anchor="_toc_auto_39">
            <w:r>
              <w:t xml:space="default">6.2.1  语法验证</w:t>
            </w:r>
          </w:hyperlink>
        </w:p>
        <w:p>
          <w:pPr>
            <w:pStyle w:val="TOC3"/>
          </w:pPr>
          <w:hyperlink w:history="1" w:anchor="_toc_auto_40">
            <w:r>
              <w:t xml:space="default">6.2.2  导入验证</w:t>
            </w:r>
          </w:hyperlink>
        </w:p>
        <w:p>
          <w:pPr>
            <w:pStyle w:val="TOC3"/>
          </w:pPr>
          <w:hyperlink w:history="1" w:anchor="_toc_auto_41">
            <w:r>
              <w:t xml:space="default">6.2.3  安全调用检查</w:t>
            </w:r>
          </w:hyperlink>
        </w:p>
        <w:p>
          <w:pPr>
            <w:pStyle w:val="TOC2"/>
          </w:pPr>
          <w:hyperlink w:history="1" w:anchor="_toc_auto_42">
            <w:r>
              <w:t xml:space="default">6.3  Human-in-the-Loop熔断机制</w:t>
            </w:r>
          </w:hyperlink>
        </w:p>
        <w:p>
          <w:pPr>
            <w:pStyle w:val="TOC1"/>
          </w:pPr>
          <w:hyperlink w:history="1" w:anchor="_ch7">
            <w:r>
              <w:t xml:space="default">第七章  技术选型与依赖</w:t>
            </w:r>
          </w:hyperlink>
        </w:p>
        <w:p>
          <w:pPr>
            <w:pStyle w:val="TOC2"/>
          </w:pPr>
          <w:hyperlink w:history="1" w:anchor="_toc_auto_44">
            <w:r>
              <w:t xml:space="default">7.1  核心技术栈</w:t>
            </w:r>
          </w:hyperlink>
        </w:p>
        <w:p>
          <w:pPr>
            <w:pStyle w:val="TOC2"/>
          </w:pPr>
          <w:hyperlink w:history="1" w:anchor="_toc_auto_45">
            <w:r>
              <w:t xml:space="default">7.2  技术选型对比分析</w:t>
            </w:r>
          </w:hyperlink>
        </w:p>
        <w:p>
          <w:pPr>
            <w:pStyle w:val="TOC3"/>
          </w:pPr>
          <w:hyperlink w:history="1" w:anchor="_toc_auto_46">
            <w:r>
              <w:t xml:space="default">7.2.1  编排框架对比</w:t>
            </w:r>
          </w:hyperlink>
        </w:p>
        <w:p>
          <w:pPr>
            <w:pStyle w:val="TOC3"/>
          </w:pPr>
          <w:hyperlink w:history="1" w:anchor="_toc_auto_47">
            <w:r>
              <w:t xml:space="default">7.2.2  向量数据库对比</w:t>
            </w:r>
          </w:hyperlink>
        </w:p>
        <w:p>
          <w:pPr>
            <w:pStyle w:val="TOC2"/>
          </w:pPr>
          <w:hyperlink w:history="1" w:anchor="_toc_auto_48">
            <w:r>
              <w:t xml:space="default">7.3  开发环境要求</w:t>
            </w:r>
          </w:hyperlink>
        </w:p>
        <w:p>
          <w:pPr>
            <w:pStyle w:val="TOC1"/>
          </w:pPr>
          <w:hyperlink w:history="1" w:anchor="_ch8">
            <w:r>
              <w:t xml:space="default">第八章  开发计划与里程碑</w:t>
            </w:r>
          </w:hyperlink>
        </w:p>
        <w:p>
          <w:pPr>
            <w:pStyle w:val="TOC2"/>
          </w:pPr>
          <w:hyperlink w:history="1" w:anchor="_toc_auto_50">
            <w:r>
              <w:t xml:space="default">8.1  总体规划</w:t>
            </w:r>
          </w:hyperlink>
        </w:p>
        <w:p>
          <w:pPr>
            <w:pStyle w:val="TOC2"/>
          </w:pPr>
          <w:hyperlink w:history="1" w:anchor="_toc_auto_51">
            <w:r>
              <w:t xml:space="default">8.2  阶段详情</w:t>
            </w:r>
          </w:hyperlink>
        </w:p>
        <w:p>
          <w:pPr>
            <w:pStyle w:val="TOC2"/>
          </w:pPr>
          <w:hyperlink w:history="1" w:anchor="_toc_auto_52">
            <w:r>
              <w:t xml:space="default">8.3  里程碑验收标准</w:t>
            </w:r>
          </w:hyperlink>
        </w:p>
        <w:p>
          <w:pPr>
            <w:pStyle w:val="TOC2"/>
          </w:pPr>
          <w:hyperlink w:history="1" w:anchor="_toc_auto_53">
            <w:r>
              <w:t xml:space="default">8.4  风险识别与应对</w:t>
            </w:r>
          </w:hyperlink>
        </w:p>
        <w:p>
          <w:pPr>
            <w:pStyle w:val="TOC1"/>
          </w:pPr>
          <w:hyperlink w:history="1" w:anchor="_ch9">
            <w:r>
              <w:t xml:space="default">第九章  代码规范与工程实践</w:t>
            </w:r>
          </w:hyperlink>
        </w:p>
        <w:p>
          <w:pPr>
            <w:pStyle w:val="TOC2"/>
          </w:pPr>
          <w:hyperlink w:history="1" w:anchor="_toc_auto_55">
            <w:r>
              <w:t xml:space="default">9.1  项目结构</w:t>
            </w:r>
          </w:hyperlink>
        </w:p>
        <w:p>
          <w:pPr>
            <w:pStyle w:val="TOC2"/>
          </w:pPr>
          <w:hyperlink w:history="1" w:anchor="_toc_auto_56">
            <w:r>
              <w:t xml:space="default">9.2  Python编码规范</w:t>
            </w:r>
          </w:hyperlink>
        </w:p>
        <w:p>
          <w:pPr>
            <w:pStyle w:val="TOC2"/>
          </w:pPr>
          <w:hyperlink w:history="1" w:anchor="_toc_auto_57">
            <w:r>
              <w:t xml:space="default">9.3  Git工作流</w:t>
            </w:r>
          </w:hyperlink>
        </w:p>
        <w:p>
          <w:pPr>
            <w:pStyle w:val="TOC2"/>
          </w:pPr>
          <w:hyperlink w:history="1" w:anchor="_toc_auto_58">
            <w:r>
              <w:t xml:space="default">9.4  CI/CD流水线</w:t>
            </w:r>
          </w:hyperlink>
        </w:p>
        <w:p>
          <w:pPr>
            <w:pStyle w:val="TOC1"/>
          </w:pPr>
          <w:hyperlink w:history="1" w:anchor="_ch10">
            <w:r>
              <w:t xml:space="default">第十章  接口规范与安全设计</w:t>
            </w:r>
          </w:hyperlink>
        </w:p>
        <w:p>
          <w:pPr>
            <w:pStyle w:val="TOC2"/>
          </w:pPr>
          <w:hyperlink w:history="1" w:anchor="_toc_auto_60">
            <w:r>
              <w:t xml:space="default">10.1  子图间通信协议</w:t>
            </w:r>
          </w:hyperlink>
        </w:p>
        <w:p>
          <w:pPr>
            <w:pStyle w:val="TOC2"/>
          </w:pPr>
          <w:hyperlink w:history="1" w:anchor="_toc_auto_61">
            <w:r>
              <w:t xml:space="default">10.2  外部API接口规范</w:t>
            </w:r>
          </w:hyperlink>
        </w:p>
        <w:p>
          <w:pPr>
            <w:pStyle w:val="TOC2"/>
          </w:pPr>
          <w:hyperlink w:history="1" w:anchor="_toc_auto_62">
            <w:r>
              <w:t xml:space="default">10.3  安全设计</w:t>
            </w:r>
          </w:hyperlink>
        </w:p>
        <w:p>
          <w:pPr>
            <w:pStyle w:val="TOC3"/>
          </w:pPr>
          <w:hyperlink w:history="1" w:anchor="_toc_auto_63">
            <w:r>
              <w:t xml:space="default">10.3.1  身份认证与权限控制</w:t>
            </w:r>
          </w:hyperlink>
        </w:p>
        <w:p>
          <w:pPr>
            <w:pStyle w:val="TOC3"/>
          </w:pPr>
          <w:hyperlink w:history="1" w:anchor="_toc_auto_64">
            <w:r>
              <w:t xml:space="default">10.3.2  数据安全与隐私</w:t>
            </w:r>
          </w:hyperlink>
        </w:p>
        <w:p>
          <w:pPr>
            <w:pStyle w:val="TOC3"/>
          </w:pPr>
          <w:hyperlink w:history="1" w:anchor="_toc_auto_65">
            <w:r>
              <w:t xml:space="default">10.3.3  模型安全</w:t>
            </w:r>
          </w:hyperlink>
        </w:p>
        <w:p>
          <w:pPr>
            <w:pStyle w:val="TOC1"/>
          </w:pPr>
          <w:hyperlink w:history="1" w:anchor="_ch11">
            <w:r>
              <w:t xml:space="default">第十一章  测试策略</w:t>
            </w:r>
          </w:hyperlink>
        </w:p>
        <w:p>
          <w:pPr>
            <w:pStyle w:val="TOC2"/>
          </w:pPr>
          <w:hyperlink w:history="1" w:anchor="_toc_auto_67">
            <w:r>
              <w:t xml:space="default">11.1  测试金字塔</w:t>
            </w:r>
          </w:hyperlink>
        </w:p>
        <w:p>
          <w:pPr>
            <w:pStyle w:val="TOC2"/>
          </w:pPr>
          <w:hyperlink w:history="1" w:anchor="_toc_auto_68">
            <w:r>
              <w:t xml:space="default">11.2  专项安全测试</w:t>
            </w:r>
          </w:hyperlink>
        </w:p>
        <w:p>
          <w:pPr>
            <w:pStyle w:val="TOC2"/>
          </w:pPr>
          <w:hyperlink w:history="1" w:anchor="_toc_auto_69">
            <w:r>
              <w:t xml:space="default">11.3  性能基准测试</w:t>
            </w:r>
          </w:hyperlink>
        </w:p>
        <w:p>
          <w:pPr>
            <w:pStyle w:val="TOC1"/>
          </w:pPr>
          <w:hyperlink w:history="1" w:anchor="_appA">
            <w:r>
              <w:t xml:space="default">附录A  术语表</w:t>
            </w:r>
          </w:hyperlink>
        </w:p>
        <w:p>
          <w:pPr>
            <w:pStyle w:val="TOC1"/>
          </w:pPr>
          <w:hyperlink w:history="1" w:anchor="_appB">
            <w:r>
              <w:t xml:space="default">附录B  业界参考案例</w:t>
            </w:r>
          </w:hyperlink>
        </w:p>
        <w:p>
          <w:pPr>
            <w:pStyle w:val="TOC2"/>
          </w:pPr>
          <w:hyperlink w:history="1" w:anchor="_toc_auto_72">
            <w:r>
              <w:t xml:space="default">B.1  CrowdStrike Charlotte AI / Agentic SOC</w:t>
            </w:r>
          </w:hyperlink>
        </w:p>
        <w:p>
          <w:pPr>
            <w:pStyle w:val="TOC2"/>
          </w:pPr>
          <w:hyperlink w:history="1" w:anchor="_toc_auto_73">
            <w:r>
              <w:t xml:space="default">B.2  Microsoft Security Copilot</w:t>
            </w:r>
          </w:hyperlink>
        </w:p>
        <w:p>
          <w:pPr>
            <w:pStyle w:val="TOC2"/>
          </w:pPr>
          <w:hyperlink w:history="1" w:anchor="_toc_auto_74">
            <w:r>
              <w:t xml:space="default">B.3  Elastic Agentic AI SOC</w:t>
            </w:r>
          </w:hyperlink>
        </w:p>
        <w:p>
          <w:pPr>
            <w:pStyle w:val="TOC2"/>
          </w:pPr>
          <w:hyperlink w:history="1" w:anchor="_toc_auto_75">
            <w:r>
              <w:t xml:space="default">B.4  阿里云Agentic SOC</w:t>
            </w:r>
          </w:hyperlink>
        </w:p>
        <w:p>
          <w:pPr>
            <w:pStyle w:val="TOC2"/>
          </w:pPr>
          <w:hyperlink w:history="1" w:anchor="_toc_auto_76">
            <w:r>
              <w:t xml:space="default">B.5  开源参考：AiSOC</w:t>
            </w:r>
          </w:hyperlink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bookmarkStart w:name="_ch1" w:id="0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第一章  项目概述与背景</w:t>
      </w:r>
      <w:bookmarkEnd w:id="0"/>
    </w:p>
    <w:p>
      <w:pPr>
        <w:pStyle w:val="Heading2"/>
        <w:keepNext/>
        <w:keepLines/>
        <w:spacing w:after="200" w:before="360"/>
      </w:pPr>
      <w:bookmarkStart w:name="_toc_auto_2" w:id="1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1.1  项目背景</w:t>
      </w:r>
      <w:bookmarkEnd w:id="1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随着网络攻击的规模、复杂度和自动化程度持续攀升，传统依赖人工分析的安全运营中心（SOC）面临三大结构性挑战：告警过载导致真正的高危事件淹没在噪声之中、安全人才短缺使平均响应时间（MTTR）居高不下、以及跨系统数据孤岛阻碍了威胁的全局关联分析。据IBM 2025年数据泄露报告显示，企业平均数据泄露成本已达488万美元，较上年增长10%，其中检测与响应环节占总成本的40%以上。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在此背景下，以AI Agent为核心的安全运营自动化方案成为业界焦点。2025至2026年间，多家头部安全厂商相继推出"Agentic SOC"理念：CrowdStrike推出Charlotte AI驱动的Agentic SOC平台并获FedRAMP High授权，微软通过Security Copilot构建多智能体协作架构覆盖检测到响应的全链路，Elastic提出"Agentic AI SOC"强调AI自主闭环控制能力，阿里云安全中心亦发布基于分层多智能体（Multi-Agent）的Agentic SOC架构。这些实践验证了一个共识——安全运营正在从"AI辅助"向"AI自主驱动"跨越。</w:t>
      </w:r>
    </w:p>
    <w:p>
      <w:pPr>
        <w:pStyle w:val="Heading2"/>
        <w:keepNext/>
        <w:keepLines/>
        <w:spacing w:after="200" w:before="360"/>
      </w:pPr>
      <w:bookmarkStart w:name="_toc_auto_3" w:id="2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1.2  项目定位与目标</w:t>
      </w:r>
      <w:bookmarkEnd w:id="2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本项目旨在构建一套企业级安全AI Agent多智能体系统，采用LangGraph作为编排引擎，以分层架构组织多个专业化智能体，覆盖威胁研判、漏洞挖掘、响应执行等安全运营核心环节。系统具备以下核心能力：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多智能体协同编排：通过LangGraph嵌套子图实现状态隔离的模块化智能体协作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知识图谱增强检索（GraphRAG）：融合向量检索与图谱关联，提供深度的威胁情报上下文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闭环漏洞验证：Vuln-Hunter智能体在隔离沙箱中完成PoC生成、预检、执行的完整闭环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人机协同（HITL）：高危操作强制人工审批，保障安全可控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数据脱敏与合规：从入口处对敏感数据进行PII掩码和IOC标准化提取</w:t>
      </w:r>
    </w:p>
    <w:p>
      <w:pPr>
        <w:pStyle w:val="Heading2"/>
        <w:keepNext/>
        <w:keepLines/>
        <w:spacing w:after="200" w:before="360"/>
      </w:pPr>
      <w:bookmarkStart w:name="_toc_auto_4" w:id="3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1.3  文档范围与读者</w:t>
      </w:r>
      <w:bookmarkEnd w:id="3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本文档作为项目开发的技术纲领文件，覆盖从架构设计到生产部署的完整生命周期。文档面向以下读者：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项目管理人员：了解系统全貌、里程碑规划与资源需求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系统架构师：深入各层设计细节、技术选型依据与接口规范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开发工程师：获取模块职责、数据流转、代码规范与实现指导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安全审计人员：审查权限管控、数据合规与风险评估机制</w:t>
      </w:r>
    </w:p>
    <w:p>
      <w:pPr>
        <w:pStyle w:val="Heading1"/>
        <w:keepNext/>
        <w:keepLines/>
        <w:spacing w:after="200" w:before="360"/>
      </w:pPr>
      <w:bookmarkStart w:name="_ch2" w:id="4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第二章  系统总体架构设计</w:t>
      </w:r>
      <w:bookmarkEnd w:id="4"/>
    </w:p>
    <w:p>
      <w:pPr>
        <w:pStyle w:val="Heading2"/>
        <w:keepNext/>
        <w:keepLines/>
        <w:spacing w:after="200" w:before="360"/>
      </w:pPr>
      <w:bookmarkStart w:name="_toc_auto_6" w:id="5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2.1  设计原则</w:t>
      </w:r>
      <w:bookmarkEnd w:id="5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系统架构遵循以下核心设计原则，确保从原型到生产的平滑演进：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原则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模块化与松耦合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各层、各子图之间通过明确定义的接口通信，单一模块的变更不影响全局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状态隔离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主图仅维护轻量级全局状态，子图拥有独立的本地状态，避免状态污染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安全纵深防御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从数据入口脱敏到沙箱隔离执行，在每一层实施安全防护措施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可审计与可追溯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所有Agent推理过程、工具调用、审批决策均记录审计日志，支持复盘复现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渐进式部署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支持云端API原型验证与私有化大模型生产部署的无缝切换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人机协同兜底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高危操作强制人工审批，AI与人类专家各司其职、互为补充</w:t>
            </w:r>
          </w:p>
        </w:tc>
      </w:tr>
    </w:tbl>
    <w:p>
      <w:pPr>
        <w:pStyle w:val="Heading2"/>
        <w:keepNext/>
        <w:keepLines/>
        <w:spacing w:after="200" w:before="360"/>
      </w:pPr>
      <w:bookmarkStart w:name="_toc_auto_7" w:id="6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2.2  四层架构总览</w:t>
      </w:r>
      <w:bookmarkEnd w:id="6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系统采用"数据源与预处理层 - 编排与智能体层 - 知识与工具层 - 执行与隔离层"的分层架构。各层职责清晰、边界明确，既可独立演进，又能协同工作。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第一层为数据源与预处理层，负责从SIEM、NTA、IDS/IPS、蜜罐、漏洞扫描器、威胁情报源等多维度安全设备采集原始告警与日志，并通过数据清洗与脱敏引擎完成PII掩码、IOC标准化提取，输出结构化JSON数据流。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第二层为编排与智能体层，是系统的核心大脑。基于LangGraph状态机引擎构建主图与嵌套子图，包含调度中枢Agent（Orchestrator）、情报专家Agent（CTI Analyst）、研判专家Agent（Investigator）、漏洞挖掘Agent（Vuln-Hunter）和响应执行Agent（Responder），通过记忆管理器实现跨子图的证据共享与归档。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第三层为知识与工具层，提供GraphRAG混合检索引擎（Milvus向量库 + Neo4j知识图谱）、统一API工具箱（威胁情报、安全设备、消息队列等接口封装），以及模型基座（私有化开源大模型与云端API的双通道支持）。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第四层为执行与隔离层，通过Docker沙箱集群提供代码编译、靶机运行、PoC执行和崩溃日志采集能力，配合静态语法预检器快速拦截低质量代码，确保所有执行操作在隔离环境中完成。</w:t>
      </w:r>
    </w:p>
    <w:p>
      <w:pPr>
        <w:pStyle w:val="Heading2"/>
        <w:keepNext/>
        <w:keepLines/>
        <w:spacing w:after="200" w:before="360"/>
      </w:pPr>
      <w:bookmarkStart w:name="_toc_auto_8" w:id="7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2.3  数据流转时序</w:t>
      </w:r>
      <w:bookmarkEnd w:id="7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一次完整的安全事件处理流程涵盖18个关键步骤，从原始告警的接入到最终执行结果的归档：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400"/>
      </w:tblGrid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数据接入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Step 1-2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原始告警进入预处理层，经正则规则和NLP脱敏引擎完成PII掩码与IOC标准化，输出结构化JSON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事件分级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Step 3-4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调度中枢Agent对事件进行优先级分类，低危事件自动归档，高危事件分流至对应子图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威胁研判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Step 5-7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情报专家Agent通过GraphRAG检索威胁情报与历史案例，研判专家Agent综合分析后返回研判结论与置信度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漏洞验证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Step 8-13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Vuln-Hunter子图进入内部循环：基于7维记忆生成PoC，经静态语法预检后进入沙箱执行，提取约束并更新记忆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响应执行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Step 14-15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响应执行Agent根据研判结论生成响应策略，高危操作推送至人工审批卡片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审批闭环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Step 16-18</w:t>
            </w:r>
          </w:p>
        </w:tc>
        <w:tc>
          <w:tcPr>
            <w:tcW w:type="dxa" w:w="5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安全专家通过企业微信/钉钉审批流批准或驳回操作，批准后执行响应策略并归档结果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ch3" w:id="8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第三章  数据源与预处理层</w:t>
      </w:r>
      <w:bookmarkEnd w:id="8"/>
    </w:p>
    <w:p>
      <w:pPr>
        <w:pStyle w:val="Heading2"/>
        <w:keepNext/>
        <w:keepLines/>
        <w:spacing w:after="200" w:before="360"/>
      </w:pPr>
      <w:bookmarkStart w:name="_toc_auto_10" w:id="9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3.1  数据源接入</w:t>
      </w:r>
      <w:bookmarkEnd w:id="9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系统需对接企业安全运营环境中多类数据源，确保原始告警与日志的全量覆盖。各数据源通过标准化的采集Agent或API对接方式接入系统：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2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数据源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接入方式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典型输出字段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SIEM告警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Syslog / REST API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alert_id, severity, src_ip, dst_ip, rule_name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NTA流量日志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Kafka / sFlow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flow_id, src_ip, dst_ip, protocol, bytes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IDS/IPS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SNMP Trap / API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sig_id, severity, classification, src_ip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蜜罐(Honeypot)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Syslog / Webhook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honeypot_id, attacker_ip, captured_cmds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IAM身份日志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REST API / Syslog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user_id, auth_event, src_ip, target_resource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漏洞扫描器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REST API / CSV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vuln_id, cve, severity, affected_host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威胁情报源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STIX/TAXII / API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indicator_type, value, confidence, tlp</w:t>
            </w:r>
          </w:p>
        </w:tc>
      </w:tr>
    </w:tbl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生产环境中，建议通过Kafka作为统一消息总线进行数据汇聚，各数据源将原始日志推送至Kafka Topic，预处理引擎从Topic消费数据进行清洗。该方案支持水平扩展，当数据量增长时可通过增加Consumer实例提升吞吐量。</w:t>
      </w:r>
    </w:p>
    <w:p>
      <w:pPr>
        <w:pStyle w:val="Heading2"/>
        <w:keepNext/>
        <w:keepLines/>
        <w:spacing w:after="200" w:before="360"/>
      </w:pPr>
      <w:bookmarkStart w:name="_toc_auto_11" w:id="10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3.2  数据清洗与脱敏引擎</w:t>
      </w:r>
      <w:bookmarkEnd w:id="10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数据清洗与脱敏引擎（Sanitization Engine）是系统的第一道安全防线，负责在原始数据进入编排层之前完成敏感信息脱敏和IOC标准化提取，确保后续处理链路中不存在明文敏感数据。引擎内部架构分为三个处理阶段：</w:t>
      </w:r>
    </w:p>
    <w:p>
      <w:pPr>
        <w:pStyle w:val="Heading3"/>
        <w:keepNext/>
        <w:keepLines/>
        <w:spacing w:after="200" w:before="360"/>
      </w:pPr>
      <w:bookmarkStart w:name="_toc_auto_12" w:id="11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3.2.1  正则规则引擎</w:t>
      </w:r>
      <w:bookmarkEnd w:id="11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规则引擎负责从原始日志文本中识别和标记敏感字段。当前预置规则覆盖以下类别：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PII识别：手机号码（中国大陆1</w:t>
      </w:r>
      <w:r>
        <w:rPr>
          <w:rFonts w:ascii="Microsoft YaHei" w:cs="Microsoft YaHei" w:eastAsia="Microsoft YaHei" w:hAnsi="Microsoft YaHei"/>
          <w:sz w:val="18"/>
          <w:szCs w:val="18"/>
          <w:vertAlign w:val="superscript"/>
        </w:rPr>
        <w:t xml:space="preserve">[3-9]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开头11位）、邮箱地址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密码字段检测：匹配password/pwd/passwd后跟等号或冒号的表达式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IP地址提取：标准IPv4格式匹配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域名提取：RFC兼容的域名正则匹配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文件哈希提取：MD5（32位十六进制）、SHA-256（64位十六进制）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规则以YAML格式配置，支持热更新，无需重启服务即可生效。生产环境中建议配合轻量级NLP模型（如基于BERT的命名实体识别）提升识别准确率，减少正则规则的误报。</w:t>
      </w:r>
    </w:p>
    <w:p>
      <w:pPr>
        <w:pStyle w:val="Heading3"/>
        <w:keepNext/>
        <w:keepLines/>
        <w:spacing w:after="200" w:before="360"/>
      </w:pPr>
      <w:bookmarkStart w:name="_toc_auto_13" w:id="12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3.2.2  脱敏处理模块</w:t>
      </w:r>
      <w:bookmarkEnd w:id="12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识别到的敏感字段按脱敏策略进行掩码处理。脱敏策略通过配置文件定义，不同字段类型采用不同的掩码规则：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200"/>
      </w:tblGrid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掩码规则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密码字段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全部替换为 ***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password=***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手机号码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保留前3后4位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138****8000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邮箱地址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用户名保留首字符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t***@example.com</w:t>
            </w:r>
          </w:p>
        </w:tc>
      </w:tr>
    </w:tbl>
    <w:p>
      <w:pPr>
        <w:pStyle w:val="Heading3"/>
        <w:keepNext/>
        <w:keepLines/>
        <w:spacing w:after="200" w:before="360"/>
      </w:pPr>
      <w:bookmarkStart w:name="_toc_auto_14" w:id="13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3.2.3  IOC标准化提取</w:t>
      </w:r>
      <w:bookmarkEnd w:id="13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脱敏后的文本进入IOC标准化模块，提取结构化的威胁指标（Indicators of Compromise）并输出标准JSON格式。输出结构遵循以下Schema：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"event_id": "uuid-v4",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"sanitized_text": "脱敏后的原始文本",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"iocs": {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"ips": ["192.168.1.5"],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"domains": ["malware.example.com"],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"hashes": ["a1b2c3..."],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"urls": ["https://..."]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},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"timestamp": "2026-07-06T10:19:24Z",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"source": "SIEM"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before="200" w:line="20" w:lineRule="exact"/>
      </w:pPr>
    </w:p>
    <w:p>
      <w:pPr>
        <w:pStyle w:val="Heading2"/>
        <w:keepNext/>
        <w:keepLines/>
        <w:spacing w:after="200" w:before="360"/>
      </w:pPr>
      <w:bookmarkStart w:name="_toc_auto_15" w:id="14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3.3  性能指标与SLA</w:t>
      </w:r>
      <w:bookmarkEnd w:id="14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预处理引擎作为数据入口的关键路径，需满足以下性能要求：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单条消息处理延迟：P99 &lt; 50ms（不含网络传输）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吞吐量：单实例 &gt;= 2000 events/s，水平扩展至 &gt;= 20000 events/s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脱敏准确率：PII识别召回率 &gt;= 99%，精确率 &gt;= 95%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IOC提取准确率：IP/域名/哈希提取准确率 &gt;= 98%</w:t>
      </w:r>
    </w:p>
    <w:p>
      <w:pPr>
        <w:shd w:fill="FFF9E6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备注：上述指标基于日均500万条告警的企业级SOC场景估算，具体数值需在压测环境中验证。</w:t>
      </w:r>
    </w:p>
    <w:p>
      <w:pPr>
        <w:pStyle w:val="Heading1"/>
        <w:keepNext/>
        <w:keepLines/>
        <w:spacing w:after="200" w:before="360"/>
      </w:pPr>
      <w:bookmarkStart w:name="_ch4" w:id="15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第四章  编排与智能体层</w:t>
      </w:r>
      <w:bookmarkEnd w:id="15"/>
    </w:p>
    <w:p>
      <w:pPr>
        <w:pStyle w:val="Heading2"/>
        <w:keepNext/>
        <w:keepLines/>
        <w:spacing w:after="200" w:before="360"/>
      </w:pPr>
      <w:bookmarkStart w:name="_toc_auto_17" w:id="16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4.1  LangGraph状态机引擎</w:t>
      </w:r>
      <w:bookmarkEnd w:id="16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编排与智能体层是系统的核心大脑，基于LangGraph状态机引擎构建。LangGraph是LangChain生态中的低层级编排框架，专为构建有状态、长时间运行的AI Agent而设计，截至2026年6月已在GitHub获得超过34,000 Stars，并在Klaas等企业的生产环境中验证了其可靠性。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本项目采用LangGraph的嵌套子图（Nested Sub-graphs）机制构建分层编排架构。该机制的核心优势在于状态隔离——主图维护轻量级全局状态，每个子图拥有独立的本地状态，子图仅向主图返回必要的结论摘要，从而避免子图内部的大量中间数据污染全局状态。</w:t>
      </w:r>
    </w:p>
    <w:p>
      <w:pPr>
        <w:pStyle w:val="Heading3"/>
        <w:keepNext/>
        <w:keepLines/>
        <w:spacing w:after="200" w:before="360"/>
      </w:pPr>
      <w:bookmarkStart w:name="_toc_auto_18" w:id="17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4.1.1  主图状态定义</w:t>
      </w:r>
      <w:bookmarkEnd w:id="17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主图（Main Graph）维护一个极简的全局共享状态，仅包含事件处理流程中的关键控制字段：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class MainGraphState(TypedDict):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event_id: str              # 事件唯一标识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priority: str              # high / medium / low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stage: str                 # triage / investigate / verify / respond / done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final_verdict: Optional[str]   # 最终研判结论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pending_action: Optional[dict] # 待审批的高危动作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subgraph_result: Optional[dict] # 子图返回结果</w:t>
      </w:r>
    </w:p>
    <w:p>
      <w:pPr>
        <w:spacing w:before="200" w:line="20" w:lineRule="exact"/>
      </w:pP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主图的核心节点包括：入口节点（Entry）、调度中枢（Orchestrator）、路由决策节点（Router）和聚合节点（Aggregator）。路由决策节点根据事件的优先级和类型，将处理流分发到对应的子图。</w:t>
      </w:r>
    </w:p>
    <w:p>
      <w:pPr>
        <w:pStyle w:val="Heading3"/>
        <w:keepNext/>
        <w:keepLines/>
        <w:spacing w:after="200" w:before="360"/>
      </w:pPr>
      <w:bookmarkStart w:name="_toc_auto_19" w:id="18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4.1.2  子图状态隔离设计</w:t>
      </w:r>
      <w:bookmarkEnd w:id="18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每个子图拥有独立的TypedDict状态定义，子图内部可以自由使用复杂的数据结构进行中间推理，但只向主图返回精简的结论。以研判子图和漏洞挖掘子图为例：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子图</w:t>
            </w:r>
          </w:p>
        </w:tc>
        <w:tc>
          <w:tcPr>
            <w:tcW w:type="dxa" w:w="6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本地状态字段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子图A：研判与情报</w:t>
            </w:r>
          </w:p>
        </w:tc>
        <w:tc>
          <w:tcPr>
            <w:tcW w:type="dxa" w:w="6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raw_intel, graph_relations, investigation_log, final_verdict, confidence_score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子图B：漏洞挖掘</w:t>
            </w:r>
          </w:p>
        </w:tc>
        <w:tc>
          <w:tcPr>
            <w:tcW w:type="dxa" w:w="6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vuln_target, code_paths, negative_evidence, constraints, poc_candidates, iteration_count, final_poc, is_vulnerable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子图C：响应执行</w:t>
            </w:r>
          </w:p>
        </w:tc>
        <w:tc>
          <w:tcPr>
            <w:tcW w:type="dxa" w:w="6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playbook_draft, approval_status, execution_result</w:t>
            </w:r>
          </w:p>
        </w:tc>
      </w:tr>
    </w:tbl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子图返回给主图的字段经过严格裁剪，例如研判子图仅返回final_verdict、confidence_score和evidence_summary三项，漏洞挖掘子图仅返回final_poc、is_vulnerable和exploit_chain三项。这种设计确保了主图状态的轻量性，降低了状态膨胀的风险。</w:t>
      </w:r>
    </w:p>
    <w:p>
      <w:pPr>
        <w:pStyle w:val="Heading2"/>
        <w:keepNext/>
        <w:keepLines/>
        <w:spacing w:after="200" w:before="360"/>
      </w:pPr>
      <w:bookmarkStart w:name="_toc_auto_20" w:id="19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4.2  调度中枢Agent</w:t>
      </w:r>
      <w:bookmarkEnd w:id="19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调度中枢Agent（Orchestrator）是主图中的核心控制节点，负责以下职责：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噪音过滤：对预处理层输入的结构化事件进行初步评估，将明确为误报或低优先级的事件直接归档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优先级分类：基于事件类型、IOC数量、历史关联度等多维特征进行优先级打分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任务分发：根据事件优先级和类型，将事件路由到对应的子图处理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结果聚合：收集各子图返回的结论，合并为统一的最终研判报告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调度中枢的实现基于LangGraph的条件边（Conditional Edges）机制。路由决策函数根据事件优先级返回不同的目标节点名称：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route_decision(state: MainGraphState) -&gt; str: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if state["priority"] == "low":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"ignore"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elif "vulnerability" in state.get("event_tags", []):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"vuln_check"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else: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"investigate"</w:t>
      </w:r>
    </w:p>
    <w:p>
      <w:pPr>
        <w:spacing w:before="200" w:line="20" w:lineRule="exact"/>
      </w:pPr>
    </w:p>
    <w:p>
      <w:pPr>
        <w:pStyle w:val="Heading2"/>
        <w:keepNext/>
        <w:keepLines/>
        <w:spacing w:after="200" w:before="360"/>
      </w:pPr>
      <w:bookmarkStart w:name="_toc_auto_21" w:id="20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4.3  子图A：研判与情报</w:t>
      </w:r>
      <w:bookmarkEnd w:id="20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研判与情报子图是系统中使用频率最高的子图，负责对安全事件进行深度分析与威胁研判。该子图由两个专业Agent协作完成：</w:t>
      </w:r>
    </w:p>
    <w:p>
      <w:pPr>
        <w:pStyle w:val="Heading3"/>
        <w:keepNext/>
        <w:keepLines/>
        <w:spacing w:after="200" w:before="360"/>
      </w:pPr>
      <w:bookmarkStart w:name="_toc_auto_22" w:id="21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4.3.1  情报专家Agent</w:t>
      </w:r>
      <w:bookmarkEnd w:id="21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情报专家Agent（CTI Analyst）专注于通过GraphRAG混合检索引擎获取威胁情报上下文。当接收到研判任务后，该Agent执行以下操作：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将事件中的IOC（IP、域名、哈希等）提交至GraphRAG引擎进行混合检索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解析GraphRAG返回的关联图谱（APT家族归属、C2基础设施关联、僵尸网络溯源等）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整合向量检索结果（相似威胁报告、历史攻击剧本、历史分析案例）与图谱检索结果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生成结构化的情报摘要卡片，传递给研判专家Agent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情报专家Agent的输出采用标准化的情报卡片格式，包含risk_level、related_apt、campaigns、recommendations等字段。</w:t>
      </w:r>
    </w:p>
    <w:p>
      <w:pPr>
        <w:pStyle w:val="Heading3"/>
        <w:keepNext/>
        <w:keepLines/>
        <w:spacing w:after="200" w:before="360"/>
      </w:pPr>
      <w:bookmarkStart w:name="_toc_auto_23" w:id="22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4.3.2  研判专家Agent</w:t>
      </w:r>
      <w:bookmarkEnd w:id="22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研判专家Agent（Investigator）在情报专家Agent的基础上，综合事件上下文、情报关联和历史案例，进行最终的事件定性研判。该Agent的职责包括：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将原始事件、情报摘要与GraphRAG检索结果进行交叉验证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识别攻击链路和攻击手法（TTP），关联MITRE ATT&amp;CK框架中的对应技术编号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输出最终研判结论（true_positive / false_positive / benign）、置信度评分和证据摘要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研判结论的置信度评分采用0-1浮点数，阈值设定如下：置信度 &gt;= 0.8 判定为确认为真阳性，0.5-0.8 判定为可疑待进一步验证，&lt; 0.5 判定为误报。</w:t>
      </w:r>
    </w:p>
    <w:p>
      <w:pPr>
        <w:pStyle w:val="Heading2"/>
        <w:keepNext/>
        <w:keepLines/>
        <w:spacing w:after="200" w:before="360"/>
      </w:pPr>
      <w:bookmarkStart w:name="_toc_auto_24" w:id="23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4.4  子图B：漏洞挖掘（Vuln-Hunter）</w:t>
      </w:r>
      <w:bookmarkEnd w:id="23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漏洞挖掘子图是系统中技术复杂度最高的模块，采用约束驱动的迭代循环架构，在隔离沙箱中完成漏洞验证的完整闭环。</w:t>
      </w:r>
    </w:p>
    <w:p>
      <w:pPr>
        <w:pStyle w:val="Heading3"/>
        <w:keepNext/>
        <w:keepLines/>
        <w:spacing w:after="200" w:before="360"/>
      </w:pPr>
      <w:bookmarkStart w:name="_toc_auto_25" w:id="24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4.4.1  7维记忆循环架构</w:t>
      </w:r>
      <w:bookmarkEnd w:id="24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Vuln-Hunter子图采用7维记忆（7-Dimension Memory）机制管理迭代过程中的状态演进。每一轮迭代包含以下步骤：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基于当前记忆生成PoC候选代码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通过静态语法预检器（Linter）验证代码质量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在Docker沙箱中执行PoC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提取执行结果中的约束条件（如缺少依赖、API调用错误等）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更新7维记忆：包括目标信息、代码路径、反面证据、约束列表、PoC候选列表、迭代次数、最终PoC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判断是否达到收敛条件（成功触发漏洞或达到最大迭代次数）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最大迭代次数默认设定为10轮，可在子图配置中按需调整。迭代过程中，Linter预检器的反馈作为重要约束写入记忆，指导下一轮PoC生成的改进方向。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为防止大模型在多轮迭代中出现"灾难性遗忘"（即随着上下文变长，模型忽略早期轮次的负面证据和约束条件），系统在结构化输出层面实施了强制控制机制。具体实现如下：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Pydantic Schema约束：定义VulnHunterMemory作为Pydantic BaseModel，严格声明7维记忆的每个字段类型和必填属性，配合大模型的JSON Mode / Structured Outputs能力，强制LLM每轮输出必须严格符合Schema规范，拒绝自由格式的文本输出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XML标签硬隔离：在Prompt中使用XML标签将历史记忆与当前推理明确分隔，如&lt;memory_history&gt;标签包裹前序轮次的完整记忆快照，&lt;current_reasoning&gt;标签包裹本轮推理过程，&lt;constraints&gt;标签集中罗列所有历史约束。这种结构化的Prompt布局有效降低了注意力稀释风险，使模型在各轮迭代中始终能够"看到"完整的约束集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负面证据显式回注：每轮迭代结束时，将本轮执行失败的错误信息以显式的"已排除路径"形式追加到negative_evidence字段，而非依赖模型自主记忆。即使模型产生上下文遗忘，已排除的错误路径仍以结构化数据的形式保留在记忆中，避免重复犯错</w:t>
      </w:r>
    </w:p>
    <w:p>
      <w:pPr>
        <w:pStyle w:val="Heading3"/>
        <w:keepNext/>
        <w:keepLines/>
        <w:spacing w:after="200" w:before="360"/>
      </w:pPr>
      <w:bookmarkStart w:name="_toc_auto_26" w:id="25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4.4.2  约束驱动生成策略</w:t>
      </w:r>
      <w:bookmarkEnd w:id="25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PoC生成的核心策略是"约束驱动"——每轮迭代中，Agent根据记忆中的约束条件（Linter错误反馈、沙箱执行结果、历史失败路径）调整生成方向。这种方式避免了盲目重试，显著提升了漏洞验证的收敛效率。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参照业界类似实践，微软Security Copilot在漏洞分析场景中亦采用了基于反馈循环的渐进式推理架构，验证了约束驱动方法的有效性</w:t>
      </w:r>
      <w:r>
        <w:rPr>
          <w:rFonts w:ascii="Microsoft YaHei" w:cs="Microsoft YaHei" w:eastAsia="Microsoft YaHei" w:hAnsi="Microsoft YaHei"/>
          <w:sz w:val="18"/>
          <w:szCs w:val="18"/>
          <w:vertAlign w:val="superscript"/>
        </w:rPr>
        <w:t xml:space="preserve">[1]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。</w:t>
      </w:r>
    </w:p>
    <w:p>
      <w:pPr>
        <w:pStyle w:val="Heading2"/>
        <w:keepNext/>
        <w:keepLines/>
        <w:spacing w:after="200" w:before="360"/>
      </w:pPr>
      <w:bookmarkStart w:name="_toc_auto_27" w:id="26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4.5  子图C：响应执行</w:t>
      </w:r>
      <w:bookmarkEnd w:id="26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响应执行子图负责根据研判结论生成并执行安全响应策略。该子图的设计核心是"人机协同"——AI生成响应方案，人类专家进行审批确认，系统执行经审批的操作。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剧本生成：根据事件类型和研判结论，从应急剧本库中匹配或生成响应剧本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审批推送：将高危操作（如封禁IP、隔离主机、阻断连接等）推送至人工审批卡片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执行与归档：经审批通过后，通过统一API工具箱调用安全设备接口执行响应动作，并归档执行结果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响应执行子图仅向主图返回approval_id和execution_summary，保持接口的简洁性。审批流支持对接企业微信、钉钉等IM平台的审批组件，确保审批过程的实时性和可追溯性。</w:t>
      </w:r>
    </w:p>
    <w:p>
      <w:pPr>
        <w:pStyle w:val="Heading2"/>
        <w:keepNext/>
        <w:keepLines/>
        <w:spacing w:after="200" w:before="360"/>
      </w:pPr>
      <w:bookmarkStart w:name="_toc_auto_28" w:id="27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4.6  记忆管理器</w:t>
      </w:r>
      <w:bookmarkEnd w:id="27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记忆管理器（Memory Manager）是跨子图的共享记忆基础设施，负责清洗、结构化和归档所有Agent处理过程中产生的证据。其主要职责包括：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证据去重与压缩：对来自不同子图的重复证据进行合并，压缩冗余信息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结构化存储：将非结构化的分析文本转化为可检索的结构化记录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跨事件关联：维护历史事件的关联图谱，为未来的分析提供上下文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TTL管理：对过期的临时记忆进行清理，避免记忆库无限膨胀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记忆管理器的存储后端建议采用Milvus + Neo4j的双写架构，其中Milvus用于向量检索（语义相似查询），Neo4j用于关系图谱查询（实体关联查询）。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bookmarkStart w:name="_ch5" w:id="28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第五章  知识与工具层</w:t>
      </w:r>
      <w:bookmarkEnd w:id="28"/>
    </w:p>
    <w:p>
      <w:pPr>
        <w:pStyle w:val="Heading2"/>
        <w:keepNext/>
        <w:keepLines/>
        <w:spacing w:after="200" w:before="360"/>
      </w:pPr>
      <w:bookmarkStart w:name="_toc_auto_30" w:id="29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5.1  GraphRAG混合检索引擎</w:t>
      </w:r>
      <w:bookmarkEnd w:id="29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GraphRAG（Graph + Retrieval-Augmented Generation）是本系统知识管理的核心组件，通过融合向量检索与图谱检索，提供远超单一检索方式的威胁情报上下文质量。该架构的设计灵感来源于微软研究院的GraphRAG论文，并针对安全运营场景进行了深度定制。</w:t>
      </w:r>
    </w:p>
    <w:p>
      <w:pPr>
        <w:pStyle w:val="Heading3"/>
        <w:keepNext/>
        <w:keepLines/>
        <w:spacing w:after="200" w:before="360"/>
      </w:pPr>
      <w:bookmarkStart w:name="_toc_auto_31" w:id="30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5.1.1  向量检索模块（Milvus）</w:t>
      </w:r>
      <w:bookmarkEnd w:id="30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向量检索模块基于Milvus构建，负责对威胁报告、攻击剧本、历史分析案例等非结构化文档进行语义相似度检索。关键设计要点如下：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嵌入模型：采用开源的BGE-large-zh-v1.5或text2vec-large-chinese作为文本嵌入模型，生成768维稠密向量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索引构建：IVF_FLAT索引（召回率优先场景）或HNSW索引（延迟优先场景），建议初始阶段使用IVF_FLAT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知识入库：将MITRE ATT&amp;CK知识库、历史应急响应报告、威胁情报报告、安全研究论文等文档进行分段向量化入库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检索策略：Top-K检索（K=10），相似度阈值 &gt;= 0.7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Milvus集群建议部署模式为3节点（2数据节点 + 1代理节点），配合etcd进行元数据管理，MinIO作为对象存储后端。对于日均500万条告警的场景，Milvus集群建议配置32GB内存、SSD存储。</w:t>
      </w:r>
    </w:p>
    <w:p>
      <w:pPr>
        <w:pStyle w:val="Heading3"/>
        <w:keepNext/>
        <w:keepLines/>
        <w:spacing w:after="200" w:before="360"/>
      </w:pPr>
      <w:bookmarkStart w:name="_toc_auto_32" w:id="31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5.1.2  图谱检索模块（Neo4j）</w:t>
      </w:r>
      <w:bookmarkEnd w:id="31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图谱检索模块基于Neo4j图数据库构建，负责对安全实体之间的关联关系进行查询。图谱中预置的核心关系类型包括：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APT家族关系：攻击组织（APT）与其使用的工具、基础设施（C2服务器、投递域名）之间的归属关系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僵尸网络拓扑：受控主机、C2节点、通信协议之间的拓扑连接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漏洞利用链：CVE漏洞、受影响产品、攻击路径之间的关联关系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事件关联图谱：历史安全事件之间的共享IOC、相似手法、时间关联等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Neo4j采用Community Edition即可满足中小规模场景（&lt; 1000万节点），大规模场景建议使用Enterprise Edition或AuraDB云服务。Cypher查询语句用于图谱遍历，关键查询场景包括N跳邻居查询、最短路径分析和社区检测。</w:t>
      </w:r>
    </w:p>
    <w:p>
      <w:pPr>
        <w:pStyle w:val="Heading3"/>
        <w:keepNext/>
        <w:keepLines/>
        <w:spacing w:after="200" w:before="360"/>
      </w:pPr>
      <w:bookmarkStart w:name="_toc_auto_33" w:id="32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5.1.3  查询路由与结果融合</w:t>
      </w:r>
      <w:bookmarkEnd w:id="32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当情报专家Agent发起查询时，查询路由分发器将查询同时分发给向量检索和图谱检索两个通道。两个通道的结果通过Reciprocal Rank Fusion（RRF）算法进行加权融合和重排序，最终生成统一的情报摘要卡片。RRF的融合公式如下：</w:t>
      </w:r>
    </w:p>
    <w:p>
      <w:pPr>
        <w:tabs>
          <w:tab w:val="center" w:pos="4513"/>
          <w:tab w:val="right" w:pos="9026"/>
        </w:tabs>
        <w:spacing w:after="160" w:before="160" w:line="380"/>
      </w:pPr>
      <w:r>
        <w:ptab w:alignment="center" w:relativeTo="margin" w:leader="none"/>
      </w:r>
      <m:oMath>
        <m:r>
          <m:t>RRF</m:t>
        </m:r>
        <m:r>
          <m:t>(</m:t>
        </m:r>
        <m:r>
          <m:t>d</m:t>
        </m:r>
        <m:r>
          <m:t>)</m:t>
        </m:r>
        <m:r>
          <m:t>=</m:t>
        </m:r>
        <m:sSub>
          <m:sSubPr/>
          <m:e>
            <m:r>
              <m:t>∑</m:t>
            </m:r>
          </m:e>
          <m:sub>
            <m:r>
              <m:t>r</m:t>
            </m:r>
            <m:r>
              <m:t>∈</m:t>
            </m:r>
            <m:r>
              <m:t>R</m:t>
            </m:r>
          </m:sub>
        </m:sSub>
        <m:f>
          <m:num>
            <m:r>
              <m:t>1</m:t>
            </m:r>
          </m:num>
          <m:den>
            <m:r>
              <m:t>k</m:t>
            </m:r>
            <m:r>
              <m:t>+</m:t>
            </m:r>
            <m:sSub>
              <m:sSubPr/>
              <m:e>
                <m:r>
                  <m:t>rank</m:t>
                </m:r>
              </m:e>
              <m:sub>
                <m:r>
                  <m:t>r</m:t>
                </m:r>
              </m:sub>
            </m:sSub>
            <m:r>
              <m:t>(</m:t>
            </m:r>
            <m:r>
              <m:t>d</m:t>
            </m:r>
            <m:r>
              <m:t>)</m:t>
            </m:r>
          </m:den>
        </m:f>
        <m:r>
          <m:t>quad</m:t>
        </m:r>
        <m:r>
          <m:t>(</m:t>
        </m:r>
        <m:r>
          <m:t>k</m:t>
        </m:r>
        <m:r>
          <m:t>=</m:t>
        </m:r>
        <m:r>
          <m:t>60</m:t>
        </m:r>
        <m:r>
          <m:t>)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(5-1)</w:t>
      </w:r>
    </w:p>
    <w:p>
      <w:pPr>
        <w:pStyle w:val="Heading2"/>
        <w:keepNext/>
        <w:keepLines/>
        <w:spacing w:after="200" w:before="360"/>
      </w:pPr>
      <w:bookmarkStart w:name="_toc_auto_34" w:id="33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5.2  统一API工具箱</w:t>
      </w:r>
      <w:bookmarkEnd w:id="33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统一API工具箱（Tool Registry）是对外集成接口的统一封装层，为各智能体提供标准化的工具调用能力。工具箱采用LangChain的Tool抽象，每个工具通过JSON Schema描述输入参数。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3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工具类别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具体工具</w:t>
            </w:r>
          </w:p>
        </w:tc>
        <w:tc>
          <w:tcPr>
            <w:tcW w:type="dxa" w:w="3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威胁情报API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VirusTotal / 微步在线</w:t>
            </w:r>
          </w:p>
        </w:tc>
        <w:tc>
          <w:tcPr>
            <w:tcW w:type="dxa" w:w="3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IOC查询与威胁评分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威胁情报API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AlienVault OTX</w:t>
            </w:r>
          </w:p>
        </w:tc>
        <w:tc>
          <w:tcPr>
            <w:tcW w:type="dxa" w:w="3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开源威胁情报查询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安全设备API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防火墙 / SIEM / EDR</w:t>
            </w:r>
          </w:p>
        </w:tc>
        <w:tc>
          <w:tcPr>
            <w:tcW w:type="dxa" w:w="3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告警查询、策略下发、主机隔离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安全设备API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漏洞扫描器</w:t>
            </w:r>
          </w:p>
        </w:tc>
        <w:tc>
          <w:tcPr>
            <w:tcW w:type="dxa" w:w="3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漏洞详情查询、扫描任务触发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消息队列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Kafka / Elasticsearch</w:t>
            </w:r>
          </w:p>
        </w:tc>
        <w:tc>
          <w:tcPr>
            <w:tcW w:type="dxa" w:w="3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事件发布订阅、日志检索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通知渠道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企业微信 / 钉钉</w:t>
            </w:r>
          </w:p>
        </w:tc>
        <w:tc>
          <w:tcPr>
            <w:tcW w:type="dxa" w:w="3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告警推送、审批卡片</w:t>
            </w:r>
          </w:p>
        </w:tc>
      </w:tr>
    </w:tbl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工具注册采用装饰器模式，新增工具只需实现Tool接口并注册到Tool Registry即可被所有智能体调用，无需修改Agent核心逻辑。</w:t>
      </w:r>
    </w:p>
    <w:p>
      <w:pPr>
        <w:pStyle w:val="Heading2"/>
        <w:keepNext/>
        <w:keepLines/>
        <w:spacing w:after="200" w:before="360"/>
      </w:pPr>
      <w:bookmarkStart w:name="_toc_auto_35" w:id="34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5.3  模型基座</w:t>
      </w:r>
      <w:bookmarkEnd w:id="34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系统支持双通道模型基座，兼顾原型验证阶段的速度需求和生产环境的私有化安全需求：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通道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模型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私有化部署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Qwen2.5-72B / Llama-3.1-70B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生产环境（数据不出域）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云端API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GPT-4o / Claude 3.5 Sonnet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原型验证与快速迭代</w:t>
            </w:r>
          </w:p>
        </w:tc>
      </w:tr>
    </w:tbl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私有化部署建议采用vLLM作为推理服务框架，配合NVIDIA A100/H100 GPU进行推理加速。单台A100 80GB可支持Qwen2.5-72B的INT4量化推理，吞吐量约20-30 tokens/s。模型选型时应综合考虑中文能力、推理延迟、部署成本等因素。</w:t>
      </w:r>
    </w:p>
    <w:p>
      <w:pPr>
        <w:shd w:fill="FFF9E6" w:val="clear"/>
        <w:spacing w:after="100" w:before="100"/>
        <w:ind w:left="200" w:right="20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提示：原型阶段推荐使用云端API快速验证业务逻辑和交互流程，待架构稳定后再切换至私有化部署。切换过程应通过模型适配层（Adapter Layer）屏蔽底层差异，确保上层代码零修改。</w:t>
      </w:r>
    </w:p>
    <w:p>
      <w:pPr>
        <w:pStyle w:val="Heading1"/>
        <w:keepNext/>
        <w:keepLines/>
        <w:spacing w:after="200" w:before="360"/>
      </w:pPr>
      <w:bookmarkStart w:name="_ch6" w:id="35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第六章  执行与隔离层</w:t>
      </w:r>
      <w:bookmarkEnd w:id="35"/>
    </w:p>
    <w:p>
      <w:pPr>
        <w:pStyle w:val="Heading2"/>
        <w:keepNext/>
        <w:keepLines/>
        <w:spacing w:after="200" w:before="360"/>
      </w:pPr>
      <w:bookmarkStart w:name="_toc_auto_37" w:id="36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6.1  隔离Docker沙箱集群</w:t>
      </w:r>
      <w:bookmarkEnd w:id="36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执行与隔离层是系统安全纵深防御的最后一道屏障。所有由AI Agent生成的代码（PoC、脚本等）必须在完全隔离的执行沙箱中运行，严禁在生产环境或Agent宿主机上直接运行。由于Vuln-Hunter生成的PoC可能包含未知的内核漏洞利用程序（Exploits），标准Docker容器与宿主机共享内核，一旦触发内核漏洞将导致沙箱逃逸。因此，系统采用基于微虚拟机（MicroVM）的强隔离沙箱架构，以gVisor（用户态内核）或Firecracker（轻量级虚拟机）作为执行隔离层，为每个PoC提供独立的内核地址空间，从根本上阻断内核级逃逸路径。沙箱集群由以下四个核心组件构成：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代码编译环境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为需要编译的PoC（如C/C++ Fuzzer）提供编译工具链，包含gcc、clang等编译器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靶机运行环境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运行待验证的目标服务或应用（如运行中的Web服务器、数据库实例）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PoC执行器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在隔离容器中运行PoC代码，捕获标准输出、错误输出和退出码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崩溃日志采集器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采集PoC执行过程中的崩溃信息，包括Core Dump、ASAN报告、Segfault等</w:t>
            </w:r>
          </w:p>
        </w:tc>
      </w:tr>
    </w:tbl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每个沙箱容器均采用以下安全加固策略：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内核级隔离：采用gVisor（用户态内核）拦截所有系统调用，或Firecracker为每个PoC启动独立轻量级虚拟机，确保内核地址空间与宿主机完全隔离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网络隔离：通过gVisor netstack或Firecracker TAP设备实现网络隔离，PoC仅能与靶机虚拟机互通，无法访问外网或宿主机网络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资源限制：通过MicroVM的cgroup配置限制CPU（最多2核）和内存（最多1GB），防止资源耗尽攻击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文件系统只读：根文件系统以只读模式挂载，仅临时写入目录可写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超时控制：PoC执行设置硬性超时（默认60秒），超时后直接终止MicroVM进程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生命周期管理：MicroVM实例使用后立即销毁（启动耗时 &lt; 125ms），不保留任何持久化状态</w:t>
      </w:r>
    </w:p>
    <w:p>
      <w:pPr>
        <w:pStyle w:val="Heading2"/>
        <w:keepNext/>
        <w:keepLines/>
        <w:spacing w:after="200" w:before="360"/>
      </w:pPr>
      <w:bookmarkStart w:name="_toc_auto_38" w:id="37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6.2  静态语法预检器</w:t>
      </w:r>
      <w:bookmarkEnd w:id="37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静态语法预检器（PoC Linter）是沙箱执行前的"安检门"，通过静态分析快速拦截语法错误、非法导入和危险调用的PoC代码，避免无效代码消耗沙箱资源。预检器包含三个检查通道：</w:t>
      </w:r>
    </w:p>
    <w:p>
      <w:pPr>
        <w:pStyle w:val="Heading3"/>
        <w:keepNext/>
        <w:keepLines/>
        <w:spacing w:after="200" w:before="360"/>
      </w:pPr>
      <w:bookmarkStart w:name="_toc_auto_39" w:id="38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6.2.1  语法验证</w:t>
      </w:r>
      <w:bookmarkEnd w:id="38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基于Python AST解析器对PoC代码进行语法分析。如果代码存在语法错误（如缺失括号、缩进错误等），直接返回具体的错误位置和错误描述，不进入沙箱执行阶段。</w:t>
      </w:r>
    </w:p>
    <w:p>
      <w:pPr>
        <w:pStyle w:val="Heading3"/>
        <w:keepNext/>
        <w:keepLines/>
        <w:spacing w:after="200" w:before="360"/>
      </w:pPr>
      <w:bookmarkStart w:name="_toc_auto_40" w:id="39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6.2.2  导入验证</w:t>
      </w:r>
      <w:bookmarkEnd w:id="39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维护一个白名单式的允许导入库列表，当前预置的允许导入包括：requests、socket、json、re、time、sys等安全相关的标准库。如果PoC代码中导入了不在白名单中的库（如os、subprocess、shutil等可能影响系统的库），预检器直接驳回。</w:t>
      </w:r>
    </w:p>
    <w:p>
      <w:pPr>
        <w:pStyle w:val="Heading3"/>
        <w:keepNext/>
        <w:keepLines/>
        <w:spacing w:after="200" w:before="360"/>
      </w:pPr>
      <w:bookmarkStart w:name="_toc_auto_41" w:id="40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6.2.3  安全调用检查</w:t>
      </w:r>
      <w:bookmarkEnd w:id="40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扫描代码中是否包含危险函数调用，当前预置的拦截列表包括：os.system、subprocess.run、eval、exec等。这些函数可能被利用执行任意系统命令，存在逃逸沙箱的风险。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预检器的检查结果反馈至Vuln-Hunter子图的7维记忆中。例如，当PoC因"缺少requests导入"被驳回时，记忆中的约束条件会被更新为"必须导入requests库"，指导下一轮PoC生成时包含正确的导入语句。</w:t>
      </w:r>
    </w:p>
    <w:p>
      <w:pPr>
        <w:pStyle w:val="Heading2"/>
        <w:keepNext/>
        <w:keepLines/>
        <w:spacing w:after="200" w:before="360"/>
      </w:pPr>
      <w:bookmarkStart w:name="_toc_auto_42" w:id="41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6.3  Human-in-the-Loop熔断机制</w:t>
      </w:r>
      <w:bookmarkEnd w:id="41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尽管系统具备一定程度的自主决策能力，但安全运营的本质决定了某些关键操作必须由人类专家最终确认。系统设计了多级HITL熔断机制：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操作级别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审批要求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L1 - 信息级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告警归档、报告生成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自动执行，无需审批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L2 - 低危操作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IOC标记、日志查询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自动执行，事后审计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L3 - 中危操作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防火墙规则变更、EDR策略调整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单人审批，5分钟内响应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L4 - 高危操作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主机隔离、网络封禁、批量操作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双人审批，15分钟内响应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L5 - 紧急操作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全局阻断、关键系统变更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安全主管 + 运维主管双人审批</w:t>
            </w:r>
          </w:p>
        </w:tc>
      </w:tr>
    </w:tbl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审批流程通过企业微信/钉钉的审批卡片组件实现，审批记录写入审计日志，支持事后回溯。审批超时未响应的事件，系统默认拒绝执行并升级告警至上级安全负责人。</w:t>
      </w:r>
    </w:p>
    <w:p>
      <w:pPr>
        <w:pStyle w:val="Heading1"/>
        <w:keepNext/>
        <w:keepLines/>
        <w:spacing w:after="200" w:before="360"/>
      </w:pPr>
      <w:bookmarkStart w:name="_ch7" w:id="42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第七章  技术选型与依赖</w:t>
      </w:r>
      <w:bookmarkEnd w:id="42"/>
    </w:p>
    <w:p>
      <w:pPr>
        <w:pStyle w:val="Heading2"/>
        <w:keepNext/>
        <w:keepLines/>
        <w:spacing w:after="200" w:before="360"/>
      </w:pPr>
      <w:bookmarkStart w:name="_toc_auto_44" w:id="43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7.1  核心技术栈</w:t>
      </w:r>
      <w:bookmarkEnd w:id="43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基于架构设计需求和生产环境考量，系统核心组件的技术选型如下表所示：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4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技术/组件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编排框架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LangGraph 1.0+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嵌套子图支持、状态隔离、生产级可靠性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LLM框架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LangChain 0.3+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与LangGraph无缝集成、丰富的Tool生态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Milvus 2.4+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高性能向量检索、支持水平扩展、社区活跃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图数据库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Neo4j 5.x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成熟的Cypher查询语言、安全图谱建模友好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消息队列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Apache Kafka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高吞吐量、持久化保障、生态成熟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日志检索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Elasticsearch 8.x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全文检索、聚合分析、与安全设备集成广泛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容器运行时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Docker + Kubernetes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沙箱隔离、编排管理、弹性扩缩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模型推理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vLLM 0.6+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高吞吐推理、PagedAttention、多模型并行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API网关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FastAPI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异步高性能、自动OpenAPI文档、类型安全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任务队列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Celery + Redis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分布式任务调度、超时控制、结果追踪</w:t>
            </w:r>
          </w:p>
        </w:tc>
      </w:tr>
    </w:tbl>
    <w:p>
      <w:pPr>
        <w:pStyle w:val="Heading2"/>
        <w:keepNext/>
        <w:keepLines/>
        <w:spacing w:after="200" w:before="360"/>
      </w:pPr>
      <w:bookmarkStart w:name="_toc_auto_45" w:id="44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7.2  技术选型对比分析</w:t>
      </w:r>
      <w:bookmarkEnd w:id="44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在关键组件的选型过程中，团队对备选方案进行了充分对比。以下列出编排框架和向量数据库的选型对比：</w:t>
      </w:r>
    </w:p>
    <w:p>
      <w:pPr>
        <w:pStyle w:val="Heading3"/>
        <w:keepNext/>
        <w:keepLines/>
        <w:spacing w:after="200" w:before="360"/>
      </w:pPr>
      <w:bookmarkStart w:name="_toc_auto_46" w:id="45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7.2.1  编排框架对比</w:t>
      </w:r>
      <w:bookmarkEnd w:id="45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2355"/>
        <w:gridCol w:w="2355"/>
        <w:gridCol w:w="2354"/>
      </w:tblGrid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LangGraph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CrewAI</w:t>
            </w:r>
          </w:p>
        </w:tc>
        <w:tc>
          <w:tcPr>
            <w:tcW w:type="dxa" w:w="23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AutoGen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嵌套子图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原生支持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不支持</w:t>
            </w:r>
          </w:p>
        </w:tc>
        <w:tc>
          <w:tcPr>
            <w:tcW w:type="dxa" w:w="23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不支持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精细可控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简化封装</w:t>
            </w:r>
          </w:p>
        </w:tc>
        <w:tc>
          <w:tcPr>
            <w:tcW w:type="dxa" w:w="23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消息驱动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生产就绪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Klaas等生产验证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社区项目</w:t>
            </w:r>
          </w:p>
        </w:tc>
        <w:tc>
          <w:tcPr>
            <w:tcW w:type="dxa" w:w="23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微软研究项目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自定义路由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条件边/循环边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流程定义</w:t>
            </w:r>
          </w:p>
        </w:tc>
        <w:tc>
          <w:tcPr>
            <w:tcW w:type="dxa" w:w="23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对话驱动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调试能力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LangSmith集成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有限</w:t>
            </w:r>
          </w:p>
        </w:tc>
        <w:tc>
          <w:tcPr>
            <w:tcW w:type="dxa" w:w="23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有限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社区活跃度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34K+ Stars</w:t>
            </w:r>
          </w:p>
        </w:tc>
        <w:tc>
          <w:tcPr>
            <w:tcW w:type="dxa" w:w="2355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12K+ Stars</w:t>
            </w:r>
          </w:p>
        </w:tc>
        <w:tc>
          <w:tcPr>
            <w:tcW w:type="dxa" w:w="23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38K+ Stars</w:t>
            </w:r>
          </w:p>
        </w:tc>
      </w:tr>
    </w:tbl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选择LangGraph的核心原因是其嵌套子图的状态隔离能力——这是实现本系统"主图轻量级、子图独立状态"架构的关键前提。CrewAI和AutoGen虽然上手更简单，但在状态精细化管理和复杂工作流编排方面存在不足。</w:t>
      </w:r>
    </w:p>
    <w:p>
      <w:pPr>
        <w:pStyle w:val="Heading3"/>
        <w:keepNext/>
        <w:keepLines/>
        <w:spacing w:after="200" w:before="360"/>
      </w:pPr>
      <w:bookmarkStart w:name="_toc_auto_47" w:id="46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7.2.2  向量数据库对比</w:t>
      </w:r>
      <w:bookmarkEnd w:id="46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2551"/>
        <w:gridCol w:w="2551"/>
        <w:gridCol w:w="1962"/>
      </w:tblGrid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Milvus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Qdrant</w:t>
            </w:r>
          </w:p>
        </w:tc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Weaviate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中文支持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良好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良好</w:t>
            </w:r>
          </w:p>
        </w:tc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良好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分布式架构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Cloud-Native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单节点/分布式</w:t>
            </w:r>
          </w:p>
        </w:tc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单节点为主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数据规模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十亿级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百万级</w:t>
            </w:r>
          </w:p>
        </w:tc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百万级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GPU加速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支持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不支持</w:t>
            </w:r>
          </w:p>
        </w:tc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支持</w:t>
            </w:r>
          </w:p>
        </w:tc>
      </w:tr>
      <w:tr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运维复杂度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中等</w:t>
            </w:r>
          </w:p>
        </w:tc>
        <w:tc>
          <w:tcPr>
            <w:tcW w:type="dxa" w:w="2551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低</w:t>
            </w:r>
          </w:p>
        </w:tc>
        <w:tc>
          <w:tcPr>
            <w:tcW w:type="dxa" w:w="1962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中等</w:t>
            </w:r>
          </w:p>
        </w:tc>
      </w:tr>
    </w:tbl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选择Milvus主要基于其水平扩展能力和十亿级数据规模支持，满足企业级安全场景中大量威胁情报文档的向量化存储与检索需求。</w:t>
      </w:r>
    </w:p>
    <w:p>
      <w:pPr>
        <w:pStyle w:val="Heading2"/>
        <w:keepNext/>
        <w:keepLines/>
        <w:spacing w:after="200" w:before="360"/>
      </w:pPr>
      <w:bookmarkStart w:name="_toc_auto_48" w:id="47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7.3  开发环境要求</w:t>
      </w:r>
      <w:bookmarkEnd w:id="47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Python 3.11+（核心业务逻辑）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Node.js 18+（前端界面与工具脚本）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Docker 24+ / Docker Compose v2（本地开发沙箱）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Kubernetes 1.28+（生产环境容器编排）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CUDA 12+（GPU推理环境）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Git 2.40+（版本管理）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8GB+ RAM（开发机内存）、NVIDIA GPU 24GB+ VRAM（本地模型推理）</w:t>
      </w:r>
    </w:p>
    <w:p>
      <w:pPr>
        <w:pStyle w:val="Heading1"/>
        <w:keepNext/>
        <w:keepLines/>
        <w:spacing w:after="200" w:before="360"/>
      </w:pPr>
      <w:bookmarkStart w:name="_ch8" w:id="48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第八章  开发计划与里程碑</w:t>
      </w:r>
      <w:bookmarkEnd w:id="48"/>
    </w:p>
    <w:p>
      <w:pPr>
        <w:pStyle w:val="Heading2"/>
        <w:keepNext/>
        <w:keepLines/>
        <w:spacing w:after="200" w:before="360"/>
      </w:pPr>
      <w:bookmarkStart w:name="_toc_auto_50" w:id="49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8.1  总体规划</w:t>
      </w:r>
      <w:bookmarkEnd w:id="49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项目开发周期规划为12周（约3个月），分为6个阶段，采用敏捷迭代方式推进。每个阶段以可交付的里程碑成果为验收标准，确保持续可验证的进展。整体规划采用"先通后优"策略——优先打通端到端的数据链路，再逐步优化各模块的性能与准确性。</w:t>
      </w:r>
    </w:p>
    <w:p>
      <w:pPr>
        <w:pStyle w:val="Heading2"/>
        <w:keepNext/>
        <w:keepLines/>
        <w:spacing w:after="200" w:before="360"/>
      </w:pPr>
      <w:bookmarkStart w:name="_toc_auto_51" w:id="50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8.2  阶段详情</w:t>
      </w:r>
      <w:bookmarkEnd w:id="50"/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0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核心目标与交付物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阶段零：预处理基建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Week 0-1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开发数据脱敏引擎（正则+NLP），实现PII掩码与IOC标准化提取，输出结构化JSON；完成单元测试覆盖率 &gt;= 90%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阶段一：基础编排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Week 1-3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搭建LangGraph主图与调度中枢Agent；实现事件优先级分类与路由分发；完成主图轻量级状态定义与流转逻辑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阶段二：研判子图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Week 3-5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开发情报专家Agent与研判专家Agent；集成GraphRAG（Milvus + Neo4j）；实现子图状态隔离；完成MITRE ATT&amp;CK知识库入库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阶段三：漏洞挖掘子图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Week 5-8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开发Vuln-Hunter闭环：7维记忆迭代、Linter预检、Docker沙箱执行；实现约束驱动PoC生成；完成Fuzzer集成与崩溃日志采集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阶段四：响应与组网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Week 8-11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开发响应执行子图；实现HITL审批流（对接企业微信/钉钉）；多子图联动测试；完成告警面板与大屏态势UI原型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阶段五：生产加固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Week 11-12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压力测试（500万条/日吞吐验证）；安全审计（权限管控、审计日志、数据合规）；性能优化与监控告警配置</w:t>
            </w:r>
          </w:p>
        </w:tc>
      </w:tr>
    </w:tbl>
    <w:p>
      <w:pPr>
        <w:pStyle w:val="Heading2"/>
        <w:keepNext/>
        <w:keepLines/>
        <w:spacing w:after="200" w:before="360"/>
      </w:pPr>
      <w:bookmarkStart w:name="_toc_auto_52" w:id="51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8.3  里程碑验收标准</w:t>
      </w:r>
      <w:bookmarkEnd w:id="51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每个阶段结束时，项目组需组织里程碑评审会议，依据以下标准进行验收：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200"/>
      </w:tblGrid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验收指标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验收方式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M0: 预处理引擎就绪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单元测试覆盖率 &gt;= 90%；P99延迟 &lt; 50ms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自动化测试报告 + 压测报告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M1: 编排基线通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端到端跑通单条告警的完整处理流程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集成测试 + Demo演示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M2: 研判能力上线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GraphRAG检索召回率 &gt;= 85%；研判准确率 &gt;= 80%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标注数据集评估 + 专家盲评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M3: 漏洞验证闭环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PoC生成成功率 &gt;= 60%；沙箱0逃逸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漏洞验证Benchmark + 安全审计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M4: 响应执行上线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审批流端到端打通；响应时间 &lt; 30s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端到端测试 + 用户验收测试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M5: 生产环境部署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500万条/日稳定运行72h；MTTR降低 &gt;= 30%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灰度发布 + 线上监控数据</w:t>
            </w:r>
          </w:p>
        </w:tc>
      </w:tr>
    </w:tbl>
    <w:p>
      <w:pPr>
        <w:pStyle w:val="Heading2"/>
        <w:keepNext/>
        <w:keepLines/>
        <w:spacing w:after="200" w:before="360"/>
      </w:pPr>
      <w:bookmarkStart w:name="_toc_auto_53" w:id="52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8.4  风险识别与应对</w:t>
      </w:r>
      <w:bookmarkEnd w:id="52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项目推进过程中可能面临以下风险，提前制定应对策略：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2200"/>
      </w:tblGrid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概率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大模型推理延迟过高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中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高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采用vLLM + GPU加速；引入异步处理与缓存机制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GraphRAG召回质量不足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中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中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迭代优化嵌入模型；扩充知识库数据；调优检索参数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Vuln-Hunter PoC成功率低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高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中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丰富7维记忆维度；扩大Linter白名单；引入Few-shot示例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沙箱安全逃逸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低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极高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多层隔离 + 严格cgroups限制 + 定期安全审计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外部API依赖中断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中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中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实现降级策略与本地缓存；关键服务双重对接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bookmarkStart w:name="_ch9" w:id="53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第九章  代码规范与工程实践</w:t>
      </w:r>
      <w:bookmarkEnd w:id="53"/>
    </w:p>
    <w:p>
      <w:pPr>
        <w:pStyle w:val="Heading2"/>
        <w:keepNext/>
        <w:keepLines/>
        <w:spacing w:after="200" w:before="360"/>
      </w:pPr>
      <w:bookmarkStart w:name="_toc_auto_55" w:id="54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9.1  项目结构</w:t>
      </w:r>
      <w:bookmarkEnd w:id="54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系统采用模块化的项目结构，按功能域划分顶层目录，确保各模块的代码组织清晰、职责明确：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security-agent/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src/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preprocessing/        # 数据预处理层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├── sanitization/       #   脱敏引擎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├── ioc_extractor/      #   IOC提取器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└── rules/              #   正则规则配置（YAML）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orchestration/         # 编排与智能体层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├── main_graph/        #   主图（调度中枢）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├── subgraphs/          #   子图目录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│   ├── investigation/  #     研判子图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│   ├── vuln_hunter/    #     漏洞挖掘子图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│   └── responder/      #     响应执行子图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└── memory/             #   记忆管理器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knowledge/              # 知识与工具层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├── graphrag/           #   GraphRAG引擎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├── tools/              #   统一API工具箱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└── models/             #   模型适配层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execution/              # 执行与隔离层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├── sandbox/            #   Docker沙箱管理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├── linter/             #   静态语法预检器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│   └── harness/            #   执行引擎</w:t>
      </w:r>
    </w:p>
    <w:p>
      <w:pPr>
        <w:shd w:fill="F4F6F7" w:val="clear"/>
        <w:spacing w:after="0" w:before="0" w:line="28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common/                 # 公共模块</w:t>
      </w:r>
    </w:p>
    <w:p>
      <w:pPr>
        <w:spacing w:before="200" w:line="20" w:lineRule="exact"/>
      </w:pPr>
    </w:p>
    <w:p>
      <w:pPr>
        <w:pStyle w:val="Heading2"/>
        <w:keepNext/>
        <w:keepLines/>
        <w:spacing w:after="200" w:before="360"/>
      </w:pPr>
      <w:bookmarkStart w:name="_toc_auto_56" w:id="55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9.2  Python编码规范</w:t>
      </w:r>
      <w:bookmarkEnd w:id="55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项目遵循PEP 8编码规范，并在此基础上增加了以下安全领域特定的编码要求：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类型标注：所有公开函数必须使用TypeScript风格的类型标注（Python Type Hints），状态类使用TypedDict定义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异步优先：所有IO密集型操作（API调用、数据库查询、模型推理）必须使用async/await模式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敏感数据禁止硬编码：API Key、数据库密码等敏感配置通过环境变量或密钥管理服务获取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日志脱敏：所有日志输出必须经过脱敏处理，禁止在日志中输出明文密码、Token等敏感信息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错误处理：Agent节点的错误必须被捕获并转化为结构化错误状态，不得向上层抛出未处理异常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代码质量保障方面，项目采用以下自动化工具链：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Ruff（Linter + Formatter）：替代Flake8和Black，提供更快的代码检查和格式化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mypy（类型检查）：强制类型标注检查，CI中mypy strict模式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pytest（单元测试）：覆盖率目标 &gt;= 90%，集成测试覆盖核心数据链路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pre-commit（Git钩子）：提交前自动执行Ruff、mypy检查</w:t>
      </w:r>
    </w:p>
    <w:p>
      <w:pPr>
        <w:pStyle w:val="Heading2"/>
        <w:keepNext/>
        <w:keepLines/>
        <w:spacing w:after="200" w:before="360"/>
      </w:pPr>
      <w:bookmarkStart w:name="_toc_auto_57" w:id="56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9.3  Git工作流</w:t>
      </w:r>
      <w:bookmarkEnd w:id="56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项目采用Git Flow分支管理策略：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main分支：生产环境代码，仅通过PR合并，要求通过全部CI检查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develop分支：开发主线，阶段性合并feature分支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feature/*分支：功能开发分支，从develop拉出，完成后通过PR合并回develop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hotfix/*分支：紧急修复分支，从main拉出，修复后同时合并至main和develop</w:t>
      </w:r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Commit Message格式遵循Conventional Commits规范：type(scope): description，其中type包括feat、fix、refactor、test、docs、chore。</w:t>
      </w:r>
    </w:p>
    <w:p>
      <w:pPr>
        <w:pStyle w:val="Heading2"/>
        <w:keepNext/>
        <w:keepLines/>
        <w:spacing w:after="200" w:before="360"/>
      </w:pPr>
      <w:bookmarkStart w:name="_toc_auto_58" w:id="57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9.4  CI/CD流水线</w:t>
      </w:r>
      <w:bookmarkEnd w:id="57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基于GitHub Actions（或GitLab CI）构建自动化流水线，覆盖以下阶段：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Lint &amp; Format：Ruff格式化检查、mypy类型检查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Unit Test：pytest执行单元测试，覆盖率 &gt;=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Integration Test：端到端数据链路测试（从预处理到沙箱执行）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Security Scan：SAST静态安全扫描（Bandit）、依赖漏洞扫描（Safety）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Docker Build：构建容器镜像并推送到私有镜像仓库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Deploy：Kubernetes滚动更新部署，配置健康检查与回滚策略</w:t>
      </w:r>
    </w:p>
    <w:p>
      <w:pPr>
        <w:pStyle w:val="Heading1"/>
        <w:keepNext/>
        <w:keepLines/>
        <w:spacing w:after="200" w:before="360"/>
      </w:pPr>
      <w:bookmarkStart w:name="_ch10" w:id="58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第十章  接口规范与安全设计</w:t>
      </w:r>
      <w:bookmarkEnd w:id="58"/>
    </w:p>
    <w:p>
      <w:pPr>
        <w:pStyle w:val="Heading2"/>
        <w:keepNext/>
        <w:keepLines/>
        <w:spacing w:after="200" w:before="360"/>
      </w:pPr>
      <w:bookmarkStart w:name="_toc_auto_60" w:id="59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10.1  子图间通信协议</w:t>
      </w:r>
      <w:bookmarkEnd w:id="59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LangGraph嵌套子图之间的通信通过状态传递机制实现。子图的输入来自主图状态的字段子集，输出通过返回值注入回主图状态。通信协议遵循以下规范：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输入规范：子图接收的输入必须为主图状态的子集，由入口映射函数（Entry Mapping）定义，明确指定从主图状态中提取哪些字段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输出规范：子图返回的结果必须为结构化字典，仅包含主图状态定义中声明的字段，多余字段会被忽略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错误处理：子图内部错误不得抛出异常至主图，必须通过返回状态中的error字段传递错误信息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超时控制：每个子图设置最大执行时间（研判子图120秒、漏洞挖掘子图600秒、响应子图300秒），超时后主图强制终止子图并记录超时事件</w:t>
      </w:r>
    </w:p>
    <w:p>
      <w:pPr>
        <w:pStyle w:val="Heading2"/>
        <w:keepNext/>
        <w:keepLines/>
        <w:spacing w:after="200" w:before="360"/>
      </w:pPr>
      <w:bookmarkStart w:name="_toc_auto_61" w:id="60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10.2  外部API接口规范</w:t>
      </w:r>
      <w:bookmarkEnd w:id="60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系统对外暴露的API基于FastAPI框架构建，遵循RESTful设计原则。核心API端点包括：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2000"/>
      </w:tblGrid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/api/v1/events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提交安全事件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内部服务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/api/v1/events/{id}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查询事件状态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分析师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/api/v1/events/{id}/trace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获取Agent推理轨迹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分析师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/api/v1/approvals/{id}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提交审批结果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安全专家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/api/v1/dashboard/metrics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获取运营指标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/api/v1/kb/search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知识库检索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分析师</w:t>
            </w:r>
          </w:p>
        </w:tc>
      </w:tr>
    </w:tbl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所有API请求和响应均采用JSON格式，统一使用UTF-8编码。API版本通过URL路径前缀（/api/v1/）管理，支持多版本共存与平滑升级。</w:t>
      </w:r>
    </w:p>
    <w:p>
      <w:pPr>
        <w:pStyle w:val="Heading2"/>
        <w:keepNext/>
        <w:keepLines/>
        <w:spacing w:after="200" w:before="360"/>
      </w:pPr>
      <w:bookmarkStart w:name="_toc_auto_62" w:id="61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10.3  安全设计</w:t>
      </w:r>
      <w:bookmarkEnd w:id="61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系统的安全设计贯穿整个架构，从数据入口到执行出口实施多层防护：</w:t>
      </w:r>
    </w:p>
    <w:p>
      <w:pPr>
        <w:pStyle w:val="Heading3"/>
        <w:keepNext/>
        <w:keepLines/>
        <w:spacing w:after="200" w:before="360"/>
      </w:pPr>
      <w:bookmarkStart w:name="_toc_auto_63" w:id="62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10.3.1  身份认证与权限控制</w:t>
      </w:r>
      <w:bookmarkEnd w:id="62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API认证：采用OAuth 2.0 + JWT令牌认证，Token有效期2小时，支持Refresh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RBAC权限模型：按角色（管理员、安全专家、分析师、审计员）分配最小必要权限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服务间认证：内部微服务间通信采用mTLS双向认证，防止内部横向移动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审计日志：所有API调用、Agent推理决策、工具调用、审批操作均记录不可篡改的审计日志</w:t>
      </w:r>
    </w:p>
    <w:p>
      <w:pPr>
        <w:pStyle w:val="Heading3"/>
        <w:keepNext/>
        <w:keepLines/>
        <w:spacing w:after="200" w:before="360"/>
      </w:pPr>
      <w:bookmarkStart w:name="_toc_auto_64" w:id="63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10.3.2  数据安全与隐私</w:t>
      </w:r>
      <w:bookmarkEnd w:id="63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传输加密：所有外部通信强制HTTPS/TLS 1.3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存储加密：敏感数据采用AES-256-GCM加密存储，密钥通过KMS管理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数据脱敏：入口处脱敏引擎确保敏感信息不进入Agent推理链路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数据最小化：Agent推理过程中仅收集和保留处理事件所必需的最小数据集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数据生命周期：临时数据（子图本地状态、沙箱文件）在任务完成后立即销毁，TTL默认24小时</w:t>
      </w:r>
    </w:p>
    <w:p>
      <w:pPr>
        <w:pStyle w:val="Heading3"/>
        <w:keepNext/>
        <w:keepLines/>
        <w:spacing w:after="200" w:before="360"/>
      </w:pPr>
      <w:bookmarkStart w:name="_toc_auto_65" w:id="64"/>
      <w:r>
        <w:rPr>
          <w:rFonts w:ascii="SimHei" w:cs="SimHei" w:eastAsia="SimHei" w:hAnsi="SimHei"/>
          <w:b/>
          <w:bCs/>
          <w:color w:val="1B3A5C"/>
          <w:sz w:val="28"/>
          <w:szCs w:val="28"/>
        </w:rPr>
        <w:t xml:space="preserve">10.3.3  模型安全</w:t>
      </w:r>
      <w:bookmarkEnd w:id="64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Prompt注入防护：对所有LLM输入进行Prompt注入检测与过滤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输出过滤：对LLM输出进行敏感信息泄露检测，防止模型在推理过程中泄露训练数据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模型水印：对私有化部署的模型实施水印机制，防止模型权重被窃取后滥用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模型行为监控：实时监控模型推理输出的异常模式（如异常长的输出、重复内容、格式混乱等），触发告警</w:t>
      </w:r>
    </w:p>
    <w:p>
      <w:pPr>
        <w:pStyle w:val="Heading1"/>
        <w:keepNext/>
        <w:keepLines/>
        <w:spacing w:after="200" w:before="360"/>
      </w:pPr>
      <w:bookmarkStart w:name="_ch11" w:id="65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第十一章  测试策略</w:t>
      </w:r>
      <w:bookmarkEnd w:id="65"/>
    </w:p>
    <w:p>
      <w:pPr>
        <w:pStyle w:val="Heading2"/>
        <w:keepNext/>
        <w:keepLines/>
        <w:spacing w:after="200" w:before="360"/>
      </w:pPr>
      <w:bookmarkStart w:name="_toc_auto_67" w:id="66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11.1  测试金字塔</w:t>
      </w:r>
      <w:bookmarkEnd w:id="66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系统采用经典的测试金字塔策略，从底层到顶层依次为：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0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测试层级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覆盖范围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工具/方法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单元测试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脱敏引擎、Linter、IOC提取等独立模块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pytest + unittest.mock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集成测试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子图端到端、GraphRAG检索、沙箱执行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pytest + testcontainers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E2E测试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主图全流程：告警输入到响应输出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Playwright + API测试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混沌测试</w:t>
            </w:r>
          </w:p>
        </w:tc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组件故障、网络中断、资源耗尽场景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Chaos Mesh / Litmus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5%</w:t>
            </w:r>
          </w:p>
        </w:tc>
      </w:tr>
    </w:tbl>
    <w:p>
      <w:pPr>
        <w:pStyle w:val="Heading2"/>
        <w:keepNext/>
        <w:keepLines/>
        <w:spacing w:after="200" w:before="360"/>
      </w:pPr>
      <w:bookmarkStart w:name="_toc_auto_68" w:id="67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11.2  专项安全测试</w:t>
      </w:r>
      <w:bookmarkEnd w:id="67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沙箱逃逸测试：构造恶意PoC尝试逃逸Docker容器，验证隔离机制有效性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Prompt注入测试：模拟各种Prompt注入攻击，验证输入过滤与输出检测的有效性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权限越权测试：验证不同角色的API访问权限是否严格遵循RBAC策略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数据泄露测试：验证Agent推理过程中是否存在敏感数据泄露风险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DAST扫描：对系统Web界面和API进行动态安全扫描（OWASP ZAP）</w:t>
      </w:r>
    </w:p>
    <w:p>
      <w:pPr>
        <w:pStyle w:val="Heading2"/>
        <w:keepNext/>
        <w:keepLines/>
        <w:spacing w:after="200" w:before="360"/>
      </w:pPr>
      <w:bookmarkStart w:name="_toc_auto_69" w:id="68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11.3  性能基准测试</w:t>
      </w:r>
      <w:bookmarkEnd w:id="68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系统需通过以下性能基准测试方可进入生产部署：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吞吐量测试：模拟日均500万条告警的峰值场景（峰值约为均值的3倍），验证系统不出现消息积压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延迟测试：单条告警从输入到生成初步研判结论的P99延迟 &lt; 30秒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并发测试：模拟50个并发安全事件同时处理，验证系统资源利用率不超过80%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稳定性测试：72小时持续压测，验证无内存泄漏、无容器重启、无数据丢失</w:t>
      </w:r>
    </w:p>
    <w:p>
      <w:pPr>
        <w:pStyle w:val="Heading1"/>
        <w:keepNext/>
        <w:keepLines/>
        <w:spacing w:after="200" w:before="360"/>
      </w:pPr>
      <w:bookmarkStart w:name="_appA" w:id="69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附录A  术语表</w:t>
      </w:r>
      <w:bookmarkEnd w:id="69"/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700"/>
      </w:tblGrid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释义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Agentic SOC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以自主智能体（Agentic AI）为核心驱动的新一代安全运营中心架构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GraphRAG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融合知识图谱（Graph）与检索增强生成（RAG）的混合检索架构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HITL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Human-in-the-Loop，人机协同，指在AI自动化流程中保留人类专家决策环节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IOC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Indicator of Compromise，威胁指标，包括IP、域名、文件哈希等可用于识别威胁的指标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PII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Personally Identifiable Information，个人可识别信息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PoC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Proof of Concept，概念验证，通常指验证漏洞存在的代码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TTP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Tactics, Techniques, and Procedures，攻击战术、技术与过程，MITRE ATT&amp;CK框架核心概念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RRF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Reciprocal Rank Fusion，倒数排名融合算法，用于合并多个排序器结果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MTTR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Mean Time to Respond，平均响应时间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RBAC</w:t>
            </w:r>
          </w:p>
        </w:tc>
        <w:tc>
          <w:tcPr>
            <w:tcW w:type="dxa" w:w="5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Role-Based Access Control，基于角色的访问控制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appB" w:id="70"/>
      <w:r>
        <w:rPr>
          <w:rFonts w:ascii="SimHei" w:cs="SimHei" w:eastAsia="SimHei" w:hAnsi="SimHei"/>
          <w:b/>
          <w:bCs/>
          <w:color w:val="1B3A5C"/>
          <w:sz w:val="40"/>
          <w:szCs w:val="40"/>
        </w:rPr>
        <w:t xml:space="preserve">附录B  业界参考案例</w:t>
      </w:r>
      <w:bookmarkEnd w:id="70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本项目架构设计参考了以下业界实践和开源项目：</w:t>
      </w:r>
    </w:p>
    <w:p>
      <w:pPr>
        <w:pStyle w:val="Heading2"/>
        <w:keepNext/>
        <w:keepLines/>
        <w:spacing w:after="200" w:before="360"/>
      </w:pPr>
      <w:bookmarkStart w:name="_toc_auto_72" w:id="71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B.1  CrowdStrike Charlotte AI / Agentic SOC</w:t>
      </w:r>
      <w:bookmarkEnd w:id="71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CrowdStrike于2025年推出以Charlotte AI为核心的Agentic SOC平台，采用多智能体协同架构实现威胁检测、事件调查和自动响应的闭环。该平台已获得FedRAMP High授权，在公共部门的安全运营中得到验证。其核心理念是"以AI代理替代人工重复操作，让分析师聚焦高价值调查"，与本项目的调度中枢和HITL设计思路高度一致。</w:t>
      </w:r>
    </w:p>
    <w:p>
      <w:pPr>
        <w:pStyle w:val="Heading2"/>
        <w:keepNext/>
        <w:keepLines/>
        <w:spacing w:after="200" w:before="360"/>
      </w:pPr>
      <w:bookmarkStart w:name="_toc_auto_73" w:id="72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B.2  Microsoft Security Copilot</w:t>
      </w:r>
      <w:bookmarkEnd w:id="72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微软Security Copilot基于多智能体协作架构，通过Security Copilot代理自动化安全运营中的重复性工作。其架构特点包括：多个专业Agent覆盖云安全、数据安全、身份安全和网络安全等领域；Agent基于ReAct推理框架进行自主决策；支持从威胁检测到自动响应的全链路覆盖。本项目的情报专家Agent和研判专家Agent的设计借鉴了其专业化分工的思路</w:t>
      </w:r>
      <w:r>
        <w:rPr>
          <w:rFonts w:ascii="Microsoft YaHei" w:cs="Microsoft YaHei" w:eastAsia="Microsoft YaHei" w:hAnsi="Microsoft YaHei"/>
          <w:sz w:val="18"/>
          <w:szCs w:val="18"/>
          <w:vertAlign w:val="superscript"/>
        </w:rPr>
        <w:t xml:space="preserve">[1]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。</w:t>
      </w:r>
    </w:p>
    <w:p>
      <w:pPr>
        <w:pStyle w:val="Heading2"/>
        <w:keepNext/>
        <w:keepLines/>
        <w:spacing w:after="200" w:before="360"/>
      </w:pPr>
      <w:bookmarkStart w:name="_toc_auto_74" w:id="73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B.3  Elastic Agentic AI SOC</w:t>
      </w:r>
      <w:bookmarkEnd w:id="73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Elastic在2026年初发布"Why 2026 is the Year to Upgrade to an Agentic AI SOC"白皮书，提出代理型AI SOC与传统副驾驶模式的根本区别：代理型AI能够自主优先处理攻击而非告警，执行闭环控制，并为每个决策提供可追溯的推理。Elastic的方案验证了GraphRAG在安全运营场景中的价值，其将安全事件、威胁情报和MITRE ATT&amp;CK知识库融合为可检索的知识图谱的实践为本项目提供了重要参考。</w:t>
      </w:r>
    </w:p>
    <w:p>
      <w:pPr>
        <w:pStyle w:val="Heading2"/>
        <w:keepNext/>
        <w:keepLines/>
        <w:spacing w:after="200" w:before="360"/>
      </w:pPr>
      <w:bookmarkStart w:name="_toc_auto_75" w:id="74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B.4  阿里云Agentic SOC</w:t>
      </w:r>
      <w:bookmarkEnd w:id="74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阿里云安全中心的Agentic SOC采用分层多智能体（Multi-Agent）协同架构，由Team Leader统一调度多个专业Agent团队。各Agent基于ReAct推理框架进行自主推理与决策，能够实时感知环境变化。该架构覆盖威胁检测、事件调查、响应协同、安全报告等安全运营全链路环节。其分层调度和专业化Agent分工的设计模式与本项目的调度中枢架构形成良好对照。</w:t>
      </w:r>
    </w:p>
    <w:p>
      <w:pPr>
        <w:pStyle w:val="Heading2"/>
        <w:keepNext/>
        <w:keepLines/>
        <w:spacing w:after="200" w:before="360"/>
      </w:pPr>
      <w:bookmarkStart w:name="_toc_auto_76" w:id="75"/>
      <w:r>
        <w:rPr>
          <w:rFonts w:ascii="SimHei" w:cs="SimHei" w:eastAsia="SimHei" w:hAnsi="SimHei"/>
          <w:b/>
          <w:bCs/>
          <w:color w:val="1B3A5C"/>
          <w:sz w:val="32"/>
          <w:szCs w:val="32"/>
        </w:rPr>
        <w:t xml:space="preserve">B.5  开源参考：AiSOC</w:t>
      </w:r>
      <w:bookmarkEnd w:id="75"/>
    </w:p>
    <w:p>
      <w:pPr>
        <w:spacing w:after="160" w:line="380"/>
        <w:ind w:firstLine="4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AiSOC是一个开源的AI SOC平台，采用CI-Gated Eval Harness进行可审计的AI安全分析。其核心理念是"AI的分析过程必须能被审计和复现"，与本项目的可审计与可追溯设计原则高度契合。AiSOC的MIT许可证和社区活跃度（1100+ Stars）使其成为学习和参考的有价值资源。</w:t>
      </w:r>
    </w:p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="http://schemas.openxmlformats.org/wordprocessingml/2006/main" xmlns:v="urn:schemas-microsoft-com:vml" xmlns:o="urn:schemas-microsoft-com:office:office">
    <w:pPr>
      <w:pStyle w:val="Header"/>
    </w:pPr>
    <w:r>
      <w:rPr>
        <w:noProof/>
      </w:rPr>
      <w:pict>
        <v:shapetype xmlns:v="urn:schemas-microsoft-com:vml" xmlns:o="urn:schemas-microsoft-com:office:office"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aterMark" o:spid="_x0000_s2049" type="#_x0000_t136" style="position:absolute;margin-left:0;margin-top:0;width:494.95pt;height:164.95pt;rotation:330;z-index:-251658752;mso-position-horizontal:center;mso-position-horizontal-relative:margin;mso-position-vertical:center;mso-position-vertical-relative:margin" o:allowincell="f" fillcolor="#C0C0C0" stroked="f">
          <v:fill opacity="0.15"/>
          <v:textpath style="font-family:&quot;Calibri&quot;;font-size:1pt" string="内部公开"/>
        </v:shape>
      </w:pict>
    </w:r>
  </w:p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安全AI Agent多智能体系统 - 项目开发文档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安全AI Agent多智能体系统 - 项目开发文档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安全AI Agent多智能体系统 - 项目开发文档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安全AI Agent多智能体系统 - 项目开发文档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C3E50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SimHei" w:cs="SimHei" w:eastAsia="SimHei" w:hAnsi="SimHei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SimHei" w:cs="SimHei" w:eastAsia="SimHei" w:hAnsi="SimHei"/>
      <w:b/>
      <w:bCs/>
      <w:color w:val="1B3A5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SimHei" w:cs="SimHei" w:eastAsia="SimHei" w:hAnsi="SimHei"/>
      <w:b/>
      <w:bCs/>
      <w:color w:val="1B3A5C"/>
      <w:sz w:val="28"/>
      <w:szCs w:val="28"/>
    </w:rPr>
  </w:style>
  <w:style xmlns:w="http://schemas.openxmlformats.org/wordprocessingml/2006/main" w:type="paragraph" w:styleId="TOC1">
    <w:name w:val="toc 1"/>
    <w:basedOn w:val="Normal"/>
    <w:uiPriority w:val="39"/>
    <w:pPr>
      <w:spacing w:before="120" w:after="0" w:line="360" w:lineRule="auto"/>
    </w:pPr>
    <w:rPr>
      <w:b/>
      <w:sz w:val="22"/>
      <w:szCs w:val="22"/>
    </w:rPr>
  </w:style>
  <w:style xmlns:w="http://schemas.openxmlformats.org/wordprocessingml/2006/main" w:type="paragraph" w:styleId="TOC2">
    <w:name w:val="toc 2"/>
    <w:basedOn w:val="Normal"/>
    <w:uiPriority w:val="39"/>
    <w:pPr>
      <w:spacing w:before="0" w:after="0" w:line="360" w:lineRule="auto"/>
      <w:ind w:left="420"/>
    </w:pPr>
    <w:rPr>
      <w:sz w:val="21"/>
      <w:szCs w:val="21"/>
    </w:rPr>
  </w:style>
  <w:style xmlns:w="http://schemas.openxmlformats.org/wordprocessingml/2006/main" w:type="paragraph" w:styleId="TOC3">
    <w:name w:val="toc 3"/>
    <w:basedOn w:val="Normal"/>
    <w:uiPriority w:val="39"/>
    <w:pPr>
      <w:spacing w:before="0" w:after="0" w:line="360" w:lineRule="auto"/>
      <w:ind w:left="84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2026-07-06T02:40:58.189Z</dcterms:created>
  <dcterms:modified xsi:type="dcterms:W3CDTF">2026-07-06T02:40:58.190Z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