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Review Guide — Record Anchoring (Problem 1)</w:t>
      </w:r>
    </w:p>
    <w:p>
      <w:r>
        <w:rPr>
          <w:i/>
          <w:color w:val="555555"/>
        </w:rPr>
        <w:t>Audience: teammates and the instructor who want to (a) review the code, (b) run the tests, and (c) understand why the design works.</w:t>
      </w:r>
    </w:p>
    <w:p>
      <w:r>
        <w:t>This guide is deliberately short. For milestone-by-milestone scope see docs/problem1-build-plan.md. For the design trade-offs see docs/problem1-solution-tradeoffs.md. Attribution tags used below follow docs/SOURCES.md.</w:t>
      </w:r>
    </w:p>
    <w:p>
      <w:pPr>
        <w:pStyle w:val="Heading1"/>
      </w:pPr>
      <w:r>
        <w:t>1. What is deployed right now</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Contract</w:t>
            </w:r>
          </w:p>
        </w:tc>
        <w:tc>
          <w:tcPr>
            <w:tcW w:type="dxa" w:w="4320"/>
          </w:tcPr>
          <w:p>
            <w:r>
              <w:t>RecordAnchor.sol</w:t>
            </w:r>
          </w:p>
        </w:tc>
      </w:tr>
      <w:tr>
        <w:tc>
          <w:tcPr>
            <w:tcW w:type="dxa" w:w="4320"/>
          </w:tcPr>
          <w:p>
            <w:r>
              <w:t>Network</w:t>
            </w:r>
          </w:p>
        </w:tc>
        <w:tc>
          <w:tcPr>
            <w:tcW w:type="dxa" w:w="4320"/>
          </w:tcPr>
          <w:p>
            <w:r>
              <w:t>Base Sepolia (chain id 84532)</w:t>
            </w:r>
          </w:p>
        </w:tc>
      </w:tr>
      <w:tr>
        <w:tc>
          <w:tcPr>
            <w:tcW w:type="dxa" w:w="4320"/>
          </w:tcPr>
          <w:p>
            <w:r>
              <w:t>Contract address</w:t>
            </w:r>
          </w:p>
        </w:tc>
        <w:tc>
          <w:tcPr>
            <w:tcW w:type="dxa" w:w="4320"/>
          </w:tcPr>
          <w:p>
            <w:r>
              <w:t>0x1380b4cBC2Bdb10e46F720124C8174bc363aE4bF</w:t>
            </w:r>
          </w:p>
        </w:tc>
      </w:tr>
      <w:tr>
        <w:tc>
          <w:tcPr>
            <w:tcW w:type="dxa" w:w="4320"/>
          </w:tcPr>
          <w:p>
            <w:r>
              <w:t>Deploy tx</w:t>
            </w:r>
          </w:p>
        </w:tc>
        <w:tc>
          <w:tcPr>
            <w:tcW w:type="dxa" w:w="4320"/>
          </w:tcPr>
          <w:p>
            <w:r>
              <w:t>0xf566c99da45feee5da821b55547004eb25b3d92e5932c0c3ab076961cb4fbfcd</w:t>
            </w:r>
          </w:p>
        </w:tc>
      </w:tr>
      <w:tr>
        <w:tc>
          <w:tcPr>
            <w:tcW w:type="dxa" w:w="4320"/>
          </w:tcPr>
          <w:p>
            <w:r>
              <w:t>Sample anchor tx</w:t>
            </w:r>
          </w:p>
        </w:tc>
        <w:tc>
          <w:tcPr>
            <w:tcW w:type="dxa" w:w="4320"/>
          </w:tcPr>
          <w:p>
            <w:r>
              <w:t>0xad6fd03965116b763ad9e7e34a86d3895de7a5a8dae5a5997ee37c88c4a02676</w:t>
            </w:r>
          </w:p>
        </w:tc>
      </w:tr>
      <w:tr>
        <w:tc>
          <w:tcPr>
            <w:tcW w:type="dxa" w:w="4320"/>
          </w:tcPr>
          <w:p>
            <w:r>
              <w:t>Anchor gas used</w:t>
            </w:r>
          </w:p>
        </w:tc>
        <w:tc>
          <w:tcPr>
            <w:tcW w:type="dxa" w:w="4320"/>
          </w:tcPr>
          <w:p>
            <w:r>
              <w:t>90,594</w:t>
            </w:r>
          </w:p>
        </w:tc>
      </w:tr>
    </w:tbl>
    <w:p>
      <w:r>
        <w:t>Explorer (clickable):</w:t>
      </w:r>
    </w:p>
    <w:p>
      <w:pPr>
        <w:pStyle w:val="ListBullet"/>
      </w:pPr>
      <w:r>
        <w:t>Contract — https://sepolia.basescan.org/address/0x1380b4cBC2Bdb10e46F720124C8174bc363aE4bF</w:t>
      </w:r>
    </w:p>
    <w:p>
      <w:pPr>
        <w:pStyle w:val="ListBullet"/>
      </w:pPr>
      <w:r>
        <w:t>Anchor tx — https://sepolia.basescan.org/tx/0xad6fd03965116b763ad9e7e34a86d3895de7a5a8dae5a5997ee37c88c4a02676</w:t>
      </w:r>
    </w:p>
    <w:p>
      <w:r>
        <w:t>You can verify the anchor without any of our code by opening the contract on Basescan, clicking “Read Contract” → getAnchor, and pasting the record hash. It will return the timestamp, block, and submitter. That is the core claim of the project: a third party can independently verify a record existed at a given time, using only a public block explorer.</w:t>
      </w:r>
    </w:p>
    <w:p>
      <w:pPr>
        <w:pStyle w:val="Heading1"/>
      </w:pPr>
      <w:r>
        <w:t>2. How to review the code (5-minute path)</w:t>
      </w:r>
    </w:p>
    <w:p>
      <w:r>
        <w:t>Read these files in order. The whole pipeline is under 300 lines.</w:t>
      </w:r>
    </w:p>
    <w:p>
      <w:pPr>
        <w:pStyle w:val="ListNumber"/>
      </w:pPr>
      <w:r>
        <w:rPr>
          <w:rFonts w:ascii="Consolas" w:hAnsi="Consolas"/>
          <w:sz w:val="20"/>
        </w:rPr>
        <w:t>anchor/src/types.ts</w:t>
      </w:r>
      <w:r>
        <w:t xml:space="preserve"> — the record schema (v1.0). What we hash.</w:t>
      </w:r>
    </w:p>
    <w:p>
      <w:pPr>
        <w:pStyle w:val="ListNumber"/>
      </w:pPr>
      <w:r>
        <w:rPr>
          <w:rFonts w:ascii="Consolas" w:hAnsi="Consolas"/>
          <w:sz w:val="20"/>
        </w:rPr>
        <w:t>anchor/src/canonicalize.ts</w:t>
      </w:r>
      <w:r>
        <w:t xml:space="preserve"> — deterministic byte encoding of a record.</w:t>
      </w:r>
    </w:p>
    <w:p>
      <w:pPr>
        <w:pStyle w:val="ListNumber"/>
      </w:pPr>
      <w:r>
        <w:rPr>
          <w:rFonts w:ascii="Consolas" w:hAnsi="Consolas"/>
          <w:sz w:val="20"/>
        </w:rPr>
        <w:t>anchor/src/hash.ts</w:t>
      </w:r>
      <w:r>
        <w:t xml:space="preserve"> — keccak256(canonicalize(record)).</w:t>
      </w:r>
    </w:p>
    <w:p>
      <w:pPr>
        <w:pStyle w:val="ListNumber"/>
      </w:pPr>
      <w:r>
        <w:rPr>
          <w:rFonts w:ascii="Consolas" w:hAnsi="Consolas"/>
          <w:sz w:val="20"/>
        </w:rPr>
        <w:t>anchor/contracts/RecordAnchor.sol</w:t>
      </w:r>
      <w:r>
        <w:t xml:space="preserve"> — the contract (~110 lines).</w:t>
      </w:r>
    </w:p>
    <w:p>
      <w:pPr>
        <w:pStyle w:val="ListNumber"/>
      </w:pPr>
      <w:r>
        <w:rPr>
          <w:rFonts w:ascii="Consolas" w:hAnsi="Consolas"/>
          <w:sz w:val="20"/>
        </w:rPr>
        <w:t>anchor/test/</w:t>
      </w:r>
      <w:r>
        <w:t xml:space="preserve"> — the tests, especially the hash-parity test that proves our TypeScript hash matches Solidity’s.</w:t>
      </w:r>
    </w:p>
    <w:p>
      <w:pPr>
        <w:pStyle w:val="ListNumber"/>
      </w:pPr>
      <w:r>
        <w:rPr>
          <w:rFonts w:ascii="Consolas" w:hAnsi="Consolas"/>
          <w:sz w:val="20"/>
        </w:rPr>
        <w:t>anchor/scripts/deploy.ts and anchor/scripts/anchor-one.ts</w:t>
      </w:r>
      <w:r>
        <w:t xml:space="preserve"> — how we deployed and how we wrote one record to Base Sepolia.</w:t>
      </w:r>
    </w:p>
    <w:p>
      <w:pPr>
        <w:pStyle w:val="Heading1"/>
      </w:pPr>
      <w:r>
        <w:t>3. How to run it locally</w:t>
      </w:r>
    </w:p>
    <w:p>
      <w:r>
        <w:t>Prereq: Node 20+, git, a terminal. No blockchain knowledge required for the local run — it uses an in-memory Hardhat node.</w:t>
      </w:r>
    </w:p>
    <w:p>
      <w:pPr>
        <w:ind w:left="360"/>
      </w:pPr>
      <w:r>
        <w:rPr>
          <w:rFonts w:ascii="Consolas" w:hAnsi="Consolas"/>
          <w:color w:val="333333"/>
          <w:sz w:val="20"/>
        </w:rPr>
        <w:t>git clone &lt;this repo&gt;</w:t>
        <w:br/>
        <w:t>cd onchaincarfacts/anchor</w:t>
        <w:br/>
        <w:t>npm install</w:t>
        <w:br/>
        <w:t>npx hardhat compile</w:t>
        <w:br/>
        <w:t>npx hardhat test</w:t>
      </w:r>
    </w:p>
    <w:p>
      <w:r>
        <w:t>Expected: all tests pass, including hash-parity (JS and Solidity produce the same bytes32) and Merkle-root verification.</w:t>
      </w:r>
    </w:p>
    <w:p>
      <w:pPr>
        <w:pStyle w:val="Heading2"/>
      </w:pPr>
      <w:r>
        <w:t>Optional: deploy to a public testnet yourself</w:t>
      </w:r>
    </w:p>
    <w:p>
      <w:r>
        <w:t>You do not need to do this to grade the project — the deployment above is already public and immutable. If you want to repeat it:</w:t>
      </w:r>
    </w:p>
    <w:p>
      <w:pPr>
        <w:pStyle w:val="ListNumber"/>
      </w:pPr>
      <w:r>
        <w:rPr>
          <w:rFonts w:ascii="Consolas" w:hAnsi="Consolas"/>
          <w:sz w:val="20"/>
        </w:rPr>
        <w:t>cp .env.example .env</w:t>
      </w:r>
      <w:r>
        <w:t xml:space="preserve"> and fill in:</w:t>
      </w:r>
    </w:p>
    <w:p>
      <w:pPr>
        <w:pStyle w:val="ListBullet2"/>
      </w:pPr>
      <w:r>
        <w:t>BASE_SEPOLIA_RPC_URL — e.g. https://sepolia.base.org (public) or an Alchemy/Infura endpoint.</w:t>
      </w:r>
    </w:p>
    <w:p>
      <w:pPr>
        <w:pStyle w:val="ListBullet2"/>
      </w:pPr>
      <w:r>
        <w:t>DEPLOYER_PRIVATE_KEY — a testnet-only key. Fund it from a Base Sepolia faucet (~0.01 ETH is plenty).</w:t>
      </w:r>
    </w:p>
    <w:p>
      <w:pPr>
        <w:pStyle w:val="ListNumber"/>
      </w:pPr>
      <w:r>
        <w:rPr>
          <w:rFonts w:ascii="Consolas" w:hAnsi="Consolas"/>
          <w:sz w:val="20"/>
        </w:rPr>
        <w:t>npx hardhat run scripts/deploy.ts --network baseSepolia</w:t>
      </w:r>
    </w:p>
    <w:p>
      <w:pPr>
        <w:pStyle w:val="ListNumber"/>
      </w:pPr>
      <w:r>
        <w:rPr>
          <w:rFonts w:ascii="Consolas" w:hAnsi="Consolas"/>
          <w:sz w:val="20"/>
        </w:rPr>
        <w:t>npx hardhat run scripts/anchor-one.ts --network baseSepolia</w:t>
      </w:r>
    </w:p>
    <w:p>
      <w:r>
        <w:t>Your own deployment will land at a different address; deployments.json records both the shared deployment and anything you add locally.</w:t>
      </w:r>
    </w:p>
    <w:p>
      <w:pPr>
        <w:pStyle w:val="Heading1"/>
      </w:pPr>
      <w:r>
        <w:t>4. How it works (the pipeline)</w:t>
      </w:r>
    </w:p>
    <w:p>
      <w:pPr>
        <w:ind w:left="360"/>
      </w:pPr>
      <w:r>
        <w:rPr>
          <w:rFonts w:ascii="Consolas" w:hAnsi="Consolas"/>
          <w:color w:val="333333"/>
          <w:sz w:val="20"/>
        </w:rPr>
        <w:t xml:space="preserve"> vehicle record (JSON)</w:t>
        <w:br/>
        <w:t xml:space="preserve">        │</w:t>
        <w:br/>
        <w:t xml:space="preserve">        ▼  canonicalize.ts — encode fields in a fixed order</w:t>
        <w:br/>
        <w:t xml:space="preserve"> canonical bytes</w:t>
        <w:br/>
        <w:t xml:space="preserve">        │</w:t>
        <w:br/>
        <w:t xml:space="preserve">        ▼  hash.ts — keccak256</w:t>
        <w:br/>
        <w:t xml:space="preserve"> 32-byte hash</w:t>
        <w:br/>
        <w:t xml:space="preserve">        │</w:t>
        <w:br/>
        <w:t xml:space="preserve">        ▼  contract.anchor(hash)   (sent as an Ethereum tx)</w:t>
        <w:br/>
        <w:t xml:space="preserve"> on-chain mapping: hash → (timestamp, blockNumber, submitter)</w:t>
        <w:br/>
        <w:t xml:space="preserve">        │</w:t>
        <w:br/>
        <w:t xml:space="preserve">        ▼  anyone later:  contract.getAnchor(hash) → same tuple</w:t>
        <w:br/>
        <w:t xml:space="preserve"> independently verifiable proof of existence</w:t>
      </w:r>
    </w:p>
    <w:p>
      <w:r>
        <w:t>Two modes are implemented in the same contract:</w:t>
      </w:r>
    </w:p>
    <w:p>
      <w:pPr>
        <w:pStyle w:val="ListBullet"/>
      </w:pPr>
      <w:r>
        <w:t>Option 1 — single-hash anchor (anchor / getAnchor). One tx per record. Simple, but one tx per record is ~90k gas.</w:t>
      </w:r>
    </w:p>
    <w:p>
      <w:pPr>
        <w:pStyle w:val="ListBullet"/>
      </w:pPr>
      <w:r>
        <w:t>Option 3 — Merkle-root anchor (anchorRoot / verifyLeaf). You build a Merkle tree over many record hashes off-chain, anchor only the 32-byte root, and prove any individual leaf later with a short proof. One tx covers arbitrarily many records. [OWN — choice to implement both so M6 can measure the cost delta.]</w:t>
      </w:r>
    </w:p>
    <w:p>
      <w:pPr>
        <w:pStyle w:val="Heading2"/>
      </w:pPr>
      <w:r>
        <w:t>Why the hash-parity test matters</w:t>
      </w:r>
    </w:p>
    <w:p>
      <w:r>
        <w:t>The contract never sees the raw record — only the hash. If our off-chain TypeScript hash didn’t match what the contract would produce from the same record, a verifier couldn’t reconstruct the hash and the whole system is worthless. The canonicalHash view function on the contract exists solely to be called from a test with the same fields the TypeScript code encoded; both must return the same bytes32. [OWN]</w:t>
      </w:r>
    </w:p>
    <w:p>
      <w:pPr>
        <w:pStyle w:val="Heading1"/>
      </w:pPr>
      <w:r>
        <w:t>5. Why it works (the cryptography and the chain)</w:t>
      </w:r>
    </w:p>
    <w:p>
      <w:r>
        <w:t>Three properties hold together, and each has a well-understood source.</w:t>
      </w:r>
    </w:p>
    <w:p>
      <w:pPr>
        <w:pStyle w:val="Heading2"/>
      </w:pPr>
      <w:r>
        <w:t>5.1  keccak256 is collision-resistant</w:t>
      </w:r>
    </w:p>
    <w:p>
      <w:r>
        <w:t>A 256-bit cryptographic hash. Finding two different inputs that produce the same output is computationally infeasible. This is why a 32-byte hash is a faithful “fingerprint” of the record — change one character of the VIN or one digit of the mileage and the hash changes completely. [S?:keccak256 — Ethereum Yellow Paper / Solidity docs]</w:t>
      </w:r>
    </w:p>
    <w:p>
      <w:pPr>
        <w:pStyle w:val="Heading2"/>
      </w:pPr>
      <w:r>
        <w:t>5.2  Ethereum ordering gives a trusted timestamp</w:t>
      </w:r>
    </w:p>
    <w:p>
      <w:r>
        <w:t>When the contract stores block.timestamp at anchor time, that timestamp is agreed on by the entire network as part of consensus. No single party (including us, the submitter) can rewrite it after the fact without rewriting Ethereum history — which the economic security of the chain makes impractical. This is why the proof is “trustless”: the verifier doesn’t have to trust us, only the chain. [S?:ethereum-consensus]</w:t>
      </w:r>
    </w:p>
    <w:p>
      <w:pPr>
        <w:pStyle w:val="Heading2"/>
      </w:pPr>
      <w:r>
        <w:t>5.3  Base Sepolia inherits Ethereum’s security model</w:t>
      </w:r>
    </w:p>
    <w:p>
      <w:r>
        <w:t>We deploy to Base Sepolia rather than Ethereum mainnet for cost reasons: gas on an L2 testnet is free (faucet ETH) and real Base mainnet txs are ~10–100× cheaper than L1. Base is an optimistic rollup — transactions execute on Base, then batches are posted back to Ethereum L1, where the data is available for anyone to re-derive Base’s state. The security argument for production would be “Base inherits L1 data availability and settlement”; for this project the testnet is sufficient to demonstrate the pattern. [S?:base-l2] [S?:l2-rollup-concept]</w:t>
      </w:r>
    </w:p>
    <w:p>
      <w:pPr>
        <w:pStyle w:val="Heading2"/>
      </w:pPr>
      <w:r>
        <w:t>5.4  The pattern has a well-known precedent</w:t>
      </w:r>
    </w:p>
    <w:p>
      <w:r>
        <w:t>What we are doing — hashing records off-chain and anchoring hashes to a tamper-evident public log — is the same pattern used by Certificate Transparency, which logs every TLS certificate issued by a trusted CA so that mis-issuance is publicly detectable. That system has been running since 2013 and is now required by major browsers. The blockchain replaces the append-only log server; everything else is analogous. [S?:certificate-transparency — RFC 6962]</w:t>
      </w:r>
    </w:p>
    <w:p>
      <w:pPr>
        <w:pStyle w:val="Heading1"/>
      </w:pPr>
      <w:r>
        <w:t>6. Sources to read for deeper understanding</w:t>
      </w:r>
    </w:p>
    <w:p>
      <w:r>
        <w:t>These are reading-list pointers, not yet fully cited entries. Confirmed citations will land in docs/SOURCES.md as they’re read.</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Topic</w:t>
            </w:r>
          </w:p>
        </w:tc>
        <w:tc>
          <w:tcPr>
            <w:tcW w:type="dxa" w:w="2880"/>
          </w:tcPr>
          <w:p>
            <w:r>
              <w:rPr>
                <w:b/>
              </w:rPr>
              <w:t>Suggested source</w:t>
            </w:r>
          </w:p>
        </w:tc>
        <w:tc>
          <w:tcPr>
            <w:tcW w:type="dxa" w:w="2880"/>
          </w:tcPr>
          <w:p>
            <w:r>
              <w:rPr>
                <w:b/>
              </w:rPr>
              <w:t>Why read it</w:t>
            </w:r>
          </w:p>
        </w:tc>
      </w:tr>
      <w:tr>
        <w:tc>
          <w:tcPr>
            <w:tcW w:type="dxa" w:w="2880"/>
          </w:tcPr>
          <w:p>
            <w:r>
              <w:t>What keccak256 actually computes</w:t>
            </w:r>
          </w:p>
        </w:tc>
        <w:tc>
          <w:tcPr>
            <w:tcW w:type="dxa" w:w="2880"/>
          </w:tcPr>
          <w:p>
            <w:r>
              <w:t>Ethereum Yellow Paper, appendix on hashing; Solidity docs</w:t>
            </w:r>
          </w:p>
        </w:tc>
        <w:tc>
          <w:tcPr>
            <w:tcW w:type="dxa" w:w="2880"/>
          </w:tcPr>
          <w:p>
            <w:r>
              <w:t>Formal definition of the hash we rely on</w:t>
            </w:r>
          </w:p>
        </w:tc>
      </w:tr>
      <w:tr>
        <w:tc>
          <w:tcPr>
            <w:tcW w:type="dxa" w:w="2880"/>
          </w:tcPr>
          <w:p>
            <w:r>
              <w:t>Why blockchain timestamps hold</w:t>
            </w:r>
          </w:p>
        </w:tc>
        <w:tc>
          <w:tcPr>
            <w:tcW w:type="dxa" w:w="2880"/>
          </w:tcPr>
          <w:p>
            <w:r>
              <w:t>Ethereum consensus spec / any intro-to-PoS explainer</w:t>
            </w:r>
          </w:p>
        </w:tc>
        <w:tc>
          <w:tcPr>
            <w:tcW w:type="dxa" w:w="2880"/>
          </w:tcPr>
          <w:p>
            <w:r>
              <w:t>Grounds the “trustless timestamp” claim</w:t>
            </w:r>
          </w:p>
        </w:tc>
      </w:tr>
      <w:tr>
        <w:tc>
          <w:tcPr>
            <w:tcW w:type="dxa" w:w="2880"/>
          </w:tcPr>
          <w:p>
            <w:r>
              <w:t>L2 rollups vs. L1</w:t>
            </w:r>
          </w:p>
        </w:tc>
        <w:tc>
          <w:tcPr>
            <w:tcW w:type="dxa" w:w="2880"/>
          </w:tcPr>
          <w:p>
            <w:r>
              <w:t>ethereum.org/en/developers/docs/scaling/optimistic-rollups/</w:t>
            </w:r>
          </w:p>
        </w:tc>
        <w:tc>
          <w:tcPr>
            <w:tcW w:type="dxa" w:w="2880"/>
          </w:tcPr>
          <w:p>
            <w:r>
              <w:t>Why Base Sepolia is cheap and still credible</w:t>
            </w:r>
          </w:p>
        </w:tc>
      </w:tr>
      <w:tr>
        <w:tc>
          <w:tcPr>
            <w:tcW w:type="dxa" w:w="2880"/>
          </w:tcPr>
          <w:p>
            <w:r>
              <w:t>Base specifically</w:t>
            </w:r>
          </w:p>
        </w:tc>
        <w:tc>
          <w:tcPr>
            <w:tcW w:type="dxa" w:w="2880"/>
          </w:tcPr>
          <w:p>
            <w:r>
              <w:t>docs.base.org</w:t>
            </w:r>
          </w:p>
        </w:tc>
        <w:tc>
          <w:tcPr>
            <w:tcW w:type="dxa" w:w="2880"/>
          </w:tcPr>
          <w:p>
            <w:r>
              <w:t>Confirms Base is Coinbase’s OP-Stack rollup</w:t>
            </w:r>
          </w:p>
        </w:tc>
      </w:tr>
      <w:tr>
        <w:tc>
          <w:tcPr>
            <w:tcW w:type="dxa" w:w="2880"/>
          </w:tcPr>
          <w:p>
            <w:r>
              <w:t>Certificate Transparency</w:t>
            </w:r>
          </w:p>
        </w:tc>
        <w:tc>
          <w:tcPr>
            <w:tcW w:type="dxa" w:w="2880"/>
          </w:tcPr>
          <w:p>
            <w:r>
              <w:t>RFC 6962</w:t>
            </w:r>
          </w:p>
        </w:tc>
        <w:tc>
          <w:tcPr>
            <w:tcW w:type="dxa" w:w="2880"/>
          </w:tcPr>
          <w:p>
            <w:r>
              <w:t>The canonical precedent for hash anchoring</w:t>
            </w:r>
          </w:p>
        </w:tc>
      </w:tr>
      <w:tr>
        <w:tc>
          <w:tcPr>
            <w:tcW w:type="dxa" w:w="2880"/>
          </w:tcPr>
          <w:p>
            <w:r>
              <w:t>Merkle trees</w:t>
            </w:r>
          </w:p>
        </w:tc>
        <w:tc>
          <w:tcPr>
            <w:tcW w:type="dxa" w:w="2880"/>
          </w:tcPr>
          <w:p>
            <w:r>
              <w:t>Any cryptography textbook; en.wikipedia.org/wiki/Merkle_tree</w:t>
            </w:r>
          </w:p>
        </w:tc>
        <w:tc>
          <w:tcPr>
            <w:tcW w:type="dxa" w:w="2880"/>
          </w:tcPr>
          <w:p>
            <w:r>
              <w:t>Background for Option 3 (batched anchoring)</w:t>
            </w:r>
          </w:p>
        </w:tc>
      </w:tr>
      <w:tr>
        <w:tc>
          <w:tcPr>
            <w:tcW w:type="dxa" w:w="2880"/>
          </w:tcPr>
          <w:p>
            <w:r>
              <w:t>Solidity abi.encode determinism</w:t>
            </w:r>
          </w:p>
        </w:tc>
        <w:tc>
          <w:tcPr>
            <w:tcW w:type="dxa" w:w="2880"/>
          </w:tcPr>
          <w:p>
            <w:r>
              <w:t>Solidity language docs, ABI section</w:t>
            </w:r>
          </w:p>
        </w:tc>
        <w:tc>
          <w:tcPr>
            <w:tcW w:type="dxa" w:w="2880"/>
          </w:tcPr>
          <w:p>
            <w:r>
              <w:t>Why canonicalization + abi.encode is stable</w:t>
            </w:r>
          </w:p>
        </w:tc>
      </w:tr>
    </w:tbl>
    <w:p>
      <w:r>
        <w:t>Every [S?] tag in this doc becomes a real [S#] entry in docs/SOURCES.md as each source is read and verified before final submission. [OWN]</w:t>
      </w:r>
    </w:p>
    <w:p>
      <w:pPr>
        <w:pStyle w:val="Heading1"/>
      </w:pPr>
      <w:r>
        <w:t>7. What’s not in scope (so reviewers don’t ask)</w:t>
      </w:r>
    </w:p>
    <w:p>
      <w:r>
        <w:t>Per the 2026-04-15 scope narrow (docs/problem1-build-plan.md), this project is only record anchoring. The following are explicitly out of scope and live in the solution-tradeoffs doc as future work: attestations / source reputation, privacy-preserving record storage, fraud detection, and a consumer-facing product.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