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OnChainCarFacts: On-Chain Record Anchoring for Vehicle History</w:t>
      </w:r>
    </w:p>
    <w:p>
      <w:r>
        <w:rPr>
          <w:b/>
        </w:rPr>
        <w:t>Final Whitepaper — Blockchain Use Case Evaluation</w:t>
      </w:r>
      <w:r>
        <w:t xml:space="preserve"> </w:t>
      </w:r>
      <w:r>
        <w:rPr>
          <w:b/>
        </w:rPr>
        <w:t>Author:</w:t>
      </w:r>
      <w:r>
        <w:t xml:space="preserve"> Mitch Larson </w:t>
      </w:r>
      <w:r>
        <w:rPr>
          <w:b/>
        </w:rPr>
        <w:t>Date:</w:t>
      </w:r>
      <w:r>
        <w:t xml:space="preserve"> 2026-04-29 </w:t>
      </w:r>
      <w:r>
        <w:rPr>
          <w:b/>
        </w:rPr>
        <w:t>Code:</w:t>
      </w:r>
      <w:r>
        <w:t xml:space="preserve"> </w:t>
      </w:r>
      <w:r>
        <w:rPr>
          <w:rFonts w:ascii="Consolas" w:hAnsi="Consolas"/>
          <w:sz w:val="20"/>
        </w:rPr>
        <w:t>anchor/</w:t>
      </w:r>
      <w:r>
        <w:t xml:space="preserve"> (Hardhat + Solidity), </w:t>
      </w:r>
      <w:r>
        <w:rPr>
          <w:rFonts w:ascii="Consolas" w:hAnsi="Consolas"/>
          <w:sz w:val="20"/>
        </w:rPr>
        <w:t>anchor/verifier/</w:t>
      </w:r>
      <w:r>
        <w:t xml:space="preserve"> (static verifier UI) </w:t>
      </w:r>
      <w:r>
        <w:rPr>
          <w:b/>
        </w:rPr>
        <w:t>Deployed contract:</w:t>
      </w:r>
      <w:r>
        <w:t xml:space="preserve"> </w:t>
      </w:r>
      <w:r>
        <w:rPr>
          <w:rFonts w:ascii="Consolas" w:hAnsi="Consolas"/>
          <w:sz w:val="20"/>
        </w:rPr>
        <w:t>RecordAnchor</w:t>
      </w:r>
      <w:r>
        <w:t xml:space="preserve"> at </w:t>
      </w:r>
      <w:r>
        <w:rPr>
          <w:rFonts w:ascii="Consolas" w:hAnsi="Consolas"/>
          <w:sz w:val="20"/>
        </w:rPr>
        <w:t>0x1380b4cBC2Bdb10e46F720124C8174bc363aE4bF</w:t>
      </w:r>
      <w:r>
        <w:t xml:space="preserve"> on Base Sepolia (chain id 84532).</w:t>
      </w:r>
    </w:p>
    <w:p>
      <w:r>
        <w:rPr>
          <w:b/>
        </w:rPr>
        <w:t>Attribution convention.</w:t>
      </w:r>
      <w:r>
        <w:t xml:space="preserve"> Every non-trivial external claim is tagged per </w:t>
      </w:r>
      <w:r>
        <w:rPr>
          <w:rFonts w:ascii="Consolas" w:hAnsi="Consolas"/>
          <w:sz w:val="20"/>
        </w:rPr>
        <w:t>docs/SOURCES.md</w:t>
      </w:r>
      <w:r>
        <w:t xml:space="preserve">: </w:t>
      </w:r>
      <w:r>
        <w:rPr>
          <w:rFonts w:ascii="Consolas" w:hAnsi="Consolas"/>
          <w:sz w:val="20"/>
        </w:rPr>
        <w:t>[S#]</w:t>
      </w:r>
      <w:r>
        <w:t xml:space="preserve"> = sourced, </w:t>
      </w:r>
      <w:r>
        <w:rPr>
          <w:rFonts w:ascii="Consolas" w:hAnsi="Consolas"/>
          <w:sz w:val="20"/>
        </w:rPr>
        <w:t>[S?:tag]</w:t>
      </w:r>
      <w:r>
        <w:t xml:space="preserve"> = citation still needed, </w:t>
      </w:r>
      <w:r>
        <w:rPr>
          <w:rFonts w:ascii="Consolas" w:hAnsi="Consolas"/>
          <w:sz w:val="20"/>
        </w:rPr>
        <w:t>[CC]</w:t>
      </w:r>
      <w:r>
        <w:t xml:space="preserve"> = co-developed with Claude, </w:t>
      </w:r>
      <w:r>
        <w:rPr>
          <w:rFonts w:ascii="Consolas" w:hAnsi="Consolas"/>
          <w:sz w:val="20"/>
        </w:rPr>
        <w:t>[OWN]</w:t>
      </w:r>
      <w:r>
        <w:t xml:space="preserve"> = my own analysis. Sources tagged </w:t>
      </w:r>
      <w:r>
        <w:rPr>
          <w:rFonts w:ascii="Consolas" w:hAnsi="Consolas"/>
          <w:sz w:val="20"/>
        </w:rPr>
        <w:t>[S?]</w:t>
      </w:r>
      <w:r>
        <w:t xml:space="preserve"> are claims drawn from public industry knowledge that were not yet verified to a specific reference at submission time; they are preserved as </w:t>
      </w:r>
      <w:r>
        <w:rPr>
          <w:rFonts w:ascii="Consolas" w:hAnsi="Consolas"/>
          <w:sz w:val="20"/>
        </w:rPr>
        <w:t>[S?]</w:t>
      </w:r>
      <w:r>
        <w:t xml:space="preserve"> rather than papered over with invented citations, per the syllabus rule that students must be able to defend any source they cite.</w:t>
      </w:r>
    </w:p>
    <w:p>
      <w:pPr>
        <w:pStyle w:val="Heading1"/>
      </w:pPr>
      <w:r>
        <w:t>1. The economic problem</w:t>
      </w:r>
    </w:p>
    <w:p>
      <w:r>
        <w:t xml:space="preserve">Used-vehicle transactions are an information-asymmetry market. A seller knows more about the vehicle than the buyer, and that gap is monetised by an intermediary industry that sells vehicle-history reports. In the US, that market is dominated by Carfax, which holds roughly 90% share through exclusive agreements with major listing platforms and certified-pre-owned programs </w:t>
      </w:r>
      <w:r>
        <w:rPr>
          <w:rFonts w:ascii="Consolas" w:hAnsi="Consolas"/>
          <w:sz w:val="20"/>
        </w:rPr>
        <w:t>[S1]</w:t>
      </w:r>
      <w:r>
        <w:t xml:space="preserve">. A single consumer report retails at \$40+ </w:t>
      </w:r>
      <w:r>
        <w:rPr>
          <w:rFonts w:ascii="Consolas" w:hAnsi="Consolas"/>
          <w:sz w:val="20"/>
        </w:rPr>
        <w:t>[S?:carfax-pricing]</w:t>
      </w:r>
      <w:r>
        <w:t xml:space="preserve">. Annual US vehicle fraud — odometer rollback, title washing, undisclosed accidents, cross-jurisdiction laundering — is estimated in the single-digit billions of dollars per year </w:t>
      </w:r>
      <w:r>
        <w:rPr>
          <w:rFonts w:ascii="Consolas" w:hAnsi="Consolas"/>
          <w:sz w:val="20"/>
        </w:rPr>
        <w:t>[S?:vehicle-fraud-cost]</w:t>
      </w:r>
      <w:r>
        <w:t xml:space="preserve">, with roughly 450,000 odometer-rollback vehicles alone per year per NHTSA </w:t>
      </w:r>
      <w:r>
        <w:rPr>
          <w:rFonts w:ascii="Consolas" w:hAnsi="Consolas"/>
          <w:sz w:val="20"/>
        </w:rPr>
        <w:t>[S?:vehicle-fraud-cost]</w:t>
      </w:r>
      <w:r>
        <w:t>.</w:t>
      </w:r>
    </w:p>
    <w:p>
      <w:r>
        <w:t xml:space="preserve">The deeper issue is not price. It is that the </w:t>
      </w:r>
      <w:r>
        <w:rPr>
          <w:i/>
        </w:rPr>
        <w:t>integrity</w:t>
      </w:r>
      <w:r>
        <w:t xml:space="preserve"> of the underlying record depends on one private company remaining solvent, honest, and cooperative forever. Records can be amended, withheld, or simply lost. Cross-border data is incomplete: a vehicle's history in Mexico does not appear in a US Carfax report. A \$50M antitrust class action by 120+ dealers </w:t>
      </w:r>
      <w:r>
        <w:rPr>
          <w:rFonts w:ascii="Consolas" w:hAnsi="Consolas"/>
          <w:sz w:val="20"/>
        </w:rPr>
        <w:t>[S1]</w:t>
      </w:r>
      <w:r>
        <w:t xml:space="preserve"> underscores the rent-extraction concern. The intellectual problem is structural: </w:t>
      </w:r>
      <w:r>
        <w:rPr>
          <w:b/>
        </w:rPr>
        <w:t>vehicle provenance is a coordination good that has been privatised, and its integrity is only as good as a single operator's continued cooperation.</w:t>
      </w:r>
      <w:r>
        <w:t xml:space="preserve"> </w:t>
      </w:r>
      <w:r>
        <w:rPr>
          <w:rFonts w:ascii="Consolas" w:hAnsi="Consolas"/>
          <w:sz w:val="20"/>
        </w:rPr>
        <w:t>[OWN]</w:t>
      </w:r>
    </w:p>
    <w:p>
      <w:pPr>
        <w:pStyle w:val="Heading2"/>
      </w:pPr>
      <w:r>
        <w:t>1.1 The narrowed question this paper actually answers</w:t>
      </w:r>
    </w:p>
    <w:p>
      <w:r>
        <w:t xml:space="preserve">An earlier iteration of this project proposed a full open vehicle-history protocol: free reads, community contribution, on-chain anchoring, tokenless reputation, fraud detection, privacy handling. Feedback from Prof. Ariel Zetlin-Jones (2026-04-15) flagged that the proposal bundled six hard problems. On his advice, I narrowed the project to </w:t>
      </w:r>
      <w:r>
        <w:rPr>
          <w:b/>
        </w:rPr>
        <w:t>Problem 1: record anchoring</w:t>
      </w:r>
      <w:r>
        <w:t xml:space="preserve"> — the foundation layer. The rest of this paper evaluates that one mechanism honestly.</w:t>
      </w:r>
    </w:p>
    <w:p>
      <w:pPr>
        <w:ind w:left="576"/>
      </w:pPr>
      <w:r>
        <w:rPr>
          <w:i/>
          <w:color w:val="555555"/>
        </w:rPr>
      </w:r>
      <w:r>
        <w:rPr>
          <w:b/>
          <w:i/>
          <w:color w:val="555555"/>
        </w:rPr>
        <w:t>Research question.</w:t>
      </w:r>
      <w:r>
        <w:rPr>
          <w:i/>
          <w:color w:val="555555"/>
        </w:rPr>
        <w:t xml:space="preserve"> Given a vehicle-history record </w:t>
      </w:r>
      <w:r>
        <w:rPr>
          <w:i/>
          <w:color w:val="555555"/>
        </w:rPr>
        <w:t>R</w:t>
      </w:r>
      <w:r>
        <w:rPr>
          <w:i/>
          <w:color w:val="555555"/>
        </w:rPr>
        <w:t>, produce at time</w:t>
      </w:r>
    </w:p>
    <w:p>
      <w:pPr>
        <w:ind w:left="576"/>
      </w:pPr>
      <w:r>
        <w:rPr>
          <w:i/>
          <w:color w:val="555555"/>
        </w:rPr>
      </w:r>
      <w:r>
        <w:rPr>
          <w:i/>
          <w:color w:val="555555"/>
        </w:rPr>
        <w:t>T₀</w:t>
      </w:r>
      <w:r>
        <w:rPr>
          <w:i/>
          <w:color w:val="555555"/>
        </w:rPr>
        <w:t xml:space="preserve"> a commitment such that, at any later time </w:t>
      </w:r>
      <w:r>
        <w:rPr>
          <w:i/>
          <w:color w:val="555555"/>
        </w:rPr>
        <w:t>T₁</w:t>
      </w:r>
      <w:r>
        <w:rPr>
          <w:i/>
          <w:color w:val="555555"/>
        </w:rPr>
        <w:t xml:space="preserve">, any party holding </w:t>
      </w:r>
      <w:r>
        <w:rPr>
          <w:i/>
          <w:color w:val="555555"/>
        </w:rPr>
        <w:t>R</w:t>
      </w:r>
    </w:p>
    <w:p>
      <w:pPr>
        <w:ind w:left="576"/>
      </w:pPr>
      <w:r>
        <w:rPr>
          <w:i/>
          <w:color w:val="555555"/>
        </w:rPr>
      </w:r>
      <w:r>
        <w:rPr>
          <w:i/>
          <w:color w:val="555555"/>
        </w:rPr>
        <w:t xml:space="preserve">can verify that </w:t>
      </w:r>
      <w:r>
        <w:rPr>
          <w:i/>
          <w:color w:val="555555"/>
        </w:rPr>
        <w:t>R</w:t>
      </w:r>
      <w:r>
        <w:rPr>
          <w:i/>
          <w:color w:val="555555"/>
        </w:rPr>
        <w:t xml:space="preserve"> existed in exactly this form by </w:t>
      </w:r>
      <w:r>
        <w:rPr>
          <w:i/>
          <w:color w:val="555555"/>
        </w:rPr>
        <w:t>T₀</w:t>
      </w:r>
      <w:r>
        <w:rPr>
          <w:i/>
          <w:color w:val="555555"/>
        </w:rPr>
        <w:t>, **without</w:t>
      </w:r>
    </w:p>
    <w:p>
      <w:pPr>
        <w:ind w:left="576"/>
      </w:pPr>
      <w:r>
        <w:rPr>
          <w:i/>
          <w:color w:val="555555"/>
        </w:rPr>
      </w:r>
      <w:r>
        <w:rPr>
          <w:i/>
          <w:color w:val="555555"/>
        </w:rPr>
        <w:t>requiring the cooperation of any single entity that existed at T₀.** Call</w:t>
      </w:r>
    </w:p>
    <w:p>
      <w:pPr>
        <w:ind w:left="576"/>
      </w:pPr>
      <w:r>
        <w:rPr>
          <w:i/>
          <w:color w:val="555555"/>
        </w:rPr>
      </w:r>
      <w:r>
        <w:rPr>
          <w:i/>
          <w:color w:val="555555"/>
        </w:rPr>
        <w:t xml:space="preserve">this property </w:t>
      </w:r>
      <w:r>
        <w:rPr>
          <w:i/>
          <w:color w:val="555555"/>
        </w:rPr>
        <w:t>P</w:t>
      </w:r>
      <w:r>
        <w:rPr>
          <w:i/>
          <w:color w:val="555555"/>
        </w:rPr>
        <w:t xml:space="preserve">. Does on-chain hash anchoring deliver property </w:t>
      </w:r>
      <w:r>
        <w:rPr>
          <w:i/>
          <w:color w:val="555555"/>
        </w:rPr>
        <w:t>P</w:t>
      </w:r>
    </w:p>
    <w:p>
      <w:pPr>
        <w:ind w:left="576"/>
      </w:pPr>
      <w:r>
        <w:rPr>
          <w:i/>
          <w:color w:val="555555"/>
        </w:rPr>
      </w:r>
      <w:r>
        <w:rPr>
          <w:i/>
          <w:color w:val="555555"/>
        </w:rPr>
        <w:t xml:space="preserve">better than the alternatives? </w:t>
      </w:r>
      <w:r>
        <w:rPr>
          <w:rFonts w:ascii="Consolas" w:hAnsi="Consolas"/>
          <w:i/>
          <w:color w:val="555555"/>
          <w:sz w:val="20"/>
        </w:rPr>
        <w:t>[OWN]</w:t>
      </w:r>
    </w:p>
    <w:p>
      <w:r>
        <w:t xml:space="preserve">Property </w:t>
      </w:r>
      <w:r>
        <w:rPr>
          <w:i/>
        </w:rPr>
        <w:t>P</w:t>
      </w:r>
      <w:r>
        <w:t xml:space="preserve"> is </w:t>
      </w:r>
      <w:r>
        <w:rPr>
          <w:i/>
        </w:rPr>
        <w:t>necessary but not sufficient</w:t>
      </w:r>
      <w:r>
        <w:t xml:space="preserve"> for useful vehicle history. Attestation (who submitted), reputation (should we believe them), completeness (are all events present), and privacy (GDPR/DPPA) are separable problems and explicitly out of scope. Stating that boundary clearly is, in my view, the research contribution here — separating what blockchain </w:t>
      </w:r>
      <w:r>
        <w:rPr>
          <w:i/>
        </w:rPr>
        <w:t>actually</w:t>
      </w:r>
      <w:r>
        <w:t xml:space="preserve"> provides from what "immutable vehicle history" marketing conflates it with.</w:t>
      </w:r>
    </w:p>
    <w:p>
      <w:pPr>
        <w:pStyle w:val="Heading1"/>
      </w:pPr>
      <w:r>
        <w:t>2. How this is addressed today (non-blockchain)</w:t>
      </w:r>
    </w:p>
    <w:p>
      <w:r>
        <w:t xml:space="preserve">Six solution families deliver some version of property </w:t>
      </w:r>
      <w:r>
        <w:rPr>
          <w:i/>
        </w:rPr>
        <w:t>P</w:t>
      </w:r>
      <w:r>
        <w:t xml:space="preserve">. Listed roughly in order of how many parties must be trusted. </w:t>
      </w:r>
      <w:r>
        <w:rPr>
          <w:rFonts w:ascii="Consolas" w:hAnsi="Consolas"/>
          <w:sz w:val="20"/>
        </w:rPr>
        <w:t>[OWN]</w:t>
      </w:r>
    </w:p>
    <w:p>
      <w:pPr>
        <w:pStyle w:val="ListNumber"/>
      </w:pPr>
      <w:r>
        <w:rPr>
          <w:b/>
        </w:rPr>
        <w:t>Single trusted operator (Carfax, AutoCheck, DMS vendors).</w:t>
      </w:r>
      <w:r>
        <w:t xml:space="preserve"> Content and</w:t>
      </w:r>
      <w:r>
        <w:t xml:space="preserve"> </w:t>
      </w:r>
      <w:r>
        <w:t>time binding, no operator independence. If the operator is compromised,</w:t>
      </w:r>
      <w:r>
        <w:t xml:space="preserve"> </w:t>
      </w:r>
      <w:r>
        <w:t>acquired, bankrupt, or changes terms, verification is conditional on the</w:t>
      </w:r>
      <w:r>
        <w:t xml:space="preserve"> </w:t>
      </w:r>
      <w:r>
        <w:t xml:space="preserve">new operator's cooperation </w:t>
      </w:r>
      <w:r>
        <w:rPr>
          <w:rFonts w:ascii="Consolas" w:hAnsi="Consolas"/>
          <w:sz w:val="20"/>
        </w:rPr>
        <w:t>[OWN]</w:t>
      </w:r>
      <w:r>
        <w:t>.</w:t>
      </w:r>
    </w:p>
    <w:p>
      <w:pPr>
        <w:pStyle w:val="ListNumber"/>
      </w:pPr>
      <w:r>
        <w:t>**RFC 3161 Trusted Timestamp Authority, with RFC 4998 (ERS) re-</w:t>
      </w:r>
      <w:r>
        <w:t xml:space="preserve"> </w:t>
      </w:r>
      <w:r>
        <w:t xml:space="preserve">timestamping** </w:t>
      </w:r>
      <w:r>
        <w:rPr>
          <w:rFonts w:ascii="Consolas" w:hAnsi="Consolas"/>
          <w:sz w:val="20"/>
        </w:rPr>
        <w:t>[S?:rfc-3161]</w:t>
      </w:r>
      <w:r>
        <w:t xml:space="preserve"> </w:t>
      </w:r>
      <w:r>
        <w:rPr>
          <w:rFonts w:ascii="Consolas" w:hAnsi="Consolas"/>
          <w:sz w:val="20"/>
        </w:rPr>
        <w:t>[S?:rfc-4998]</w:t>
      </w:r>
      <w:r>
        <w:t>. Signed-hash tokens,</w:t>
      </w:r>
      <w:r>
        <w:t xml:space="preserve"> </w:t>
      </w:r>
      <w:r>
        <w:t>portable, with periodic re-timestamping to survive algorithm or</w:t>
      </w:r>
      <w:r>
        <w:t xml:space="preserve"> </w:t>
      </w:r>
      <w:r>
        <w:t>certificate expiry. Stronger than people assume — the weakness is that</w:t>
      </w:r>
      <w:r>
        <w:t xml:space="preserve"> </w:t>
      </w:r>
      <w:r>
        <w:t>the TSA operator is still identifiable, coercible, and can cease to</w:t>
      </w:r>
      <w:r>
        <w:t xml:space="preserve"> </w:t>
      </w:r>
      <w:r>
        <w:t>exist; every ERS round re-enters that trust assumption with whichever</w:t>
      </w:r>
      <w:r>
        <w:t xml:space="preserve"> </w:t>
      </w:r>
      <w:r>
        <w:t xml:space="preserve">TSA is then available </w:t>
      </w:r>
      <w:r>
        <w:rPr>
          <w:rFonts w:ascii="Consolas" w:hAnsi="Consolas"/>
          <w:sz w:val="20"/>
        </w:rPr>
        <w:t>[CC]</w:t>
      </w:r>
      <w:r>
        <w:t>.</w:t>
      </w:r>
    </w:p>
    <w:p>
      <w:pPr>
        <w:pStyle w:val="ListNumber"/>
      </w:pPr>
      <w:r>
        <w:rPr>
          <w:b/>
        </w:rPr>
        <w:t>Federated database (NMVTIS-style).</w:t>
      </w:r>
      <w:r>
        <w:t xml:space="preserve"> Multiple reporting entities with</w:t>
      </w:r>
      <w:r>
        <w:t xml:space="preserve"> </w:t>
      </w:r>
      <w:r>
        <w:t xml:space="preserve">regulatory oversight </w:t>
      </w:r>
      <w:r>
        <w:rPr>
          <w:rFonts w:ascii="Consolas" w:hAnsi="Consolas"/>
          <w:sz w:val="20"/>
        </w:rPr>
        <w:t>[S?:nmvtis]</w:t>
      </w:r>
      <w:r>
        <w:t>. No single operator can unilaterally</w:t>
      </w:r>
      <w:r>
        <w:t xml:space="preserve"> </w:t>
      </w:r>
      <w:r>
        <w:t>rewrite, but the federation as a whole can, and access is gated by</w:t>
      </w:r>
      <w:r>
        <w:t xml:space="preserve"> </w:t>
      </w:r>
      <w:r>
        <w:t>policy rather than public by default.</w:t>
      </w:r>
    </w:p>
    <w:p>
      <w:pPr>
        <w:pStyle w:val="ListNumber"/>
      </w:pPr>
      <w:r>
        <w:rPr>
          <w:b/>
        </w:rPr>
        <w:t>Certificate Transparency-style log</w:t>
      </w:r>
      <w:r>
        <w:t xml:space="preserve"> (RFC 6962 family)</w:t>
      </w:r>
      <w:r>
        <w:t xml:space="preserve"> </w:t>
      </w:r>
      <w:r>
        <w:rPr>
          <w:rFonts w:ascii="Consolas" w:hAnsi="Consolas"/>
          <w:sz w:val="20"/>
        </w:rPr>
        <w:t>[S?:certificate-transparency]</w:t>
      </w:r>
      <w:r>
        <w:t>. Append-only log of cryptographic</w:t>
      </w:r>
      <w:r>
        <w:t xml:space="preserve"> </w:t>
      </w:r>
      <w:r>
        <w:t>commitments with inclusion and consistency proofs, watched by</w:t>
      </w:r>
      <w:r>
        <w:t xml:space="preserve"> </w:t>
      </w:r>
      <w:r>
        <w:t>independent monitors. Strong on paper; in practice, monitor ecosystems</w:t>
      </w:r>
      <w:r>
        <w:t xml:space="preserve"> </w:t>
      </w:r>
      <w:r>
        <w:t>have historically been patchier than the RFC implies, and argument</w:t>
      </w:r>
      <w:r>
        <w:t xml:space="preserve"> </w:t>
      </w:r>
      <w:r>
        <w:t>strength depends on naming who the monitors actually are.</w:t>
      </w:r>
    </w:p>
    <w:p>
      <w:pPr>
        <w:pStyle w:val="ListNumber"/>
      </w:pPr>
      <w:r>
        <w:rPr>
          <w:b/>
        </w:rPr>
        <w:t>Permissioned blockchain (consortium chain).</w:t>
      </w:r>
      <w:r>
        <w:t xml:space="preserve"> Fixed validator set</w:t>
      </w:r>
      <w:r>
        <w:t xml:space="preserve"> </w:t>
      </w:r>
      <w:r>
        <w:t xml:space="preserve">drawn from known participants </w:t>
      </w:r>
      <w:r>
        <w:rPr>
          <w:rFonts w:ascii="Consolas" w:hAnsi="Consolas"/>
          <w:sz w:val="20"/>
        </w:rPr>
        <w:t>[S?:permissioned-chain]</w:t>
      </w:r>
      <w:r>
        <w:t>. For property</w:t>
      </w:r>
      <w:r>
        <w:t xml:space="preserve"> </w:t>
      </w:r>
      <w:r>
        <w:rPr>
          <w:i/>
        </w:rPr>
        <w:t>P</w:t>
      </w:r>
      <w:r>
        <w:t xml:space="preserve"> alone this is strictly worse than CT: same small-operator trust</w:t>
      </w:r>
      <w:r>
        <w:t xml:space="preserve"> </w:t>
      </w:r>
      <w:r>
        <w:t>assumption, more operational overhead, no independent monitor ecosystem.</w:t>
      </w:r>
      <w:r>
        <w:t xml:space="preserve"> </w:t>
      </w:r>
      <w:r>
        <w:t xml:space="preserve">It is a centralised system in blockchain vocabulary </w:t>
      </w:r>
      <w:r>
        <w:rPr>
          <w:rFonts w:ascii="Consolas" w:hAnsi="Consolas"/>
          <w:sz w:val="20"/>
        </w:rPr>
        <w:t>[OWN]</w:t>
      </w:r>
      <w:r>
        <w:t>.</w:t>
      </w:r>
    </w:p>
    <w:p>
      <w:pPr>
        <w:pStyle w:val="ListNumber"/>
      </w:pPr>
      <w:r>
        <w:rPr>
          <w:b/>
        </w:rPr>
        <w:t>Public permissionless blockchain anchoring, two variants:</w:t>
      </w:r>
      <w:r>
        <w:t xml:space="preserve"> </w:t>
      </w:r>
      <w:r>
        <w:t xml:space="preserve">- </w:t>
      </w:r>
      <w:r>
        <w:rPr>
          <w:b/>
        </w:rPr>
        <w:t>Smart-contract anchoring on an EVM chain</w:t>
      </w:r>
      <w:r>
        <w:t xml:space="preserve"> (Ethereum L1 or an L2</w:t>
      </w:r>
      <w:r>
        <w:t xml:space="preserve"> </w:t>
      </w:r>
      <w:r>
        <w:t xml:space="preserve">rollup such as Base) </w:t>
      </w:r>
      <w:r>
        <w:rPr>
          <w:rFonts w:ascii="Consolas" w:hAnsi="Consolas"/>
          <w:sz w:val="20"/>
        </w:rPr>
        <w:t>[S?:l2-rollup-concept]</w:t>
      </w:r>
      <w:r>
        <w:t xml:space="preserve"> </w:t>
      </w:r>
      <w:r>
        <w:rPr>
          <w:rFonts w:ascii="Consolas" w:hAnsi="Consolas"/>
          <w:sz w:val="20"/>
        </w:rPr>
        <w:t>[S2]</w:t>
      </w:r>
      <w:r>
        <w:t>. Store</w:t>
      </w:r>
      <w:r>
        <w:t xml:space="preserve"> </w:t>
      </w:r>
      <w:r>
        <w:t>hashes in a contract; anyone can verify by reading chain state.</w:t>
      </w:r>
      <w:r>
        <w:t xml:space="preserve"> </w:t>
      </w:r>
      <w:r>
        <w:t xml:space="preserve">- </w:t>
      </w:r>
      <w:r>
        <w:rPr>
          <w:b/>
        </w:rPr>
        <w:t>Publication-based anchoring (OpenTimestamps family)</w:t>
      </w:r>
      <w:r>
        <w:t xml:space="preserve"> </w:t>
      </w:r>
      <w:r>
        <w:rPr>
          <w:rFonts w:ascii="Consolas" w:hAnsi="Consolas"/>
          <w:sz w:val="20"/>
        </w:rPr>
        <w:t>[S?:opentimestamps]</w:t>
      </w:r>
      <w:r>
        <w:t>. Aggregator servers commit a Merkle root of</w:t>
      </w:r>
      <w:r>
        <w:t xml:space="preserve"> </w:t>
      </w:r>
      <w:r>
        <w:t>thousands of hashes to a permissionless chain (historically Bitcoin);</w:t>
      </w:r>
      <w:r>
        <w:t xml:space="preserve"> </w:t>
      </w:r>
      <w:r>
        <w:t>clients hold a Merkle inclusion proof that verifies locally against</w:t>
      </w:r>
      <w:r>
        <w:t xml:space="preserve"> </w:t>
      </w:r>
      <w:r>
        <w:t>the on-chain root.</w:t>
      </w:r>
    </w:p>
    <w:p>
      <w:pPr>
        <w:pStyle w:val="Heading2"/>
      </w:pPr>
      <w:r>
        <w:t xml:space="preserve">2.1 Comparison against property </w:t>
      </w:r>
      <w:r>
        <w:rPr>
          <w:i/>
        </w:rPr>
        <w:t>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Solution</w:t>
            </w:r>
          </w:p>
        </w:tc>
        <w:tc>
          <w:tcPr>
            <w:tcW w:type="dxa" w:w="1440"/>
          </w:tcPr>
          <w:p>
            <w:r/>
            <w:r>
              <w:rPr>
                <w:b/>
              </w:rPr>
              <w:t>Content binding</w:t>
            </w:r>
          </w:p>
        </w:tc>
        <w:tc>
          <w:tcPr>
            <w:tcW w:type="dxa" w:w="1440"/>
          </w:tcPr>
          <w:p>
            <w:r/>
            <w:r>
              <w:rPr>
                <w:b/>
              </w:rPr>
              <w:t>Time binding</w:t>
            </w:r>
          </w:p>
        </w:tc>
        <w:tc>
          <w:tcPr>
            <w:tcW w:type="dxa" w:w="1440"/>
          </w:tcPr>
          <w:p>
            <w:r/>
            <w:r>
              <w:rPr>
                <w:b/>
              </w:rPr>
              <w:t>Operator independence</w:t>
            </w:r>
          </w:p>
        </w:tc>
        <w:tc>
          <w:tcPr>
            <w:tcW w:type="dxa" w:w="1440"/>
          </w:tcPr>
          <w:p>
            <w:r/>
            <w:r>
              <w:rPr>
                <w:b/>
              </w:rPr>
              <w:t>Per-record cost</w:t>
            </w:r>
          </w:p>
        </w:tc>
        <w:tc>
          <w:tcPr>
            <w:tcW w:type="dxa" w:w="1440"/>
          </w:tcPr>
          <w:p>
            <w:r/>
            <w:r>
              <w:rPr>
                <w:b/>
              </w:rPr>
              <w:t>Trust assumption</w:t>
            </w:r>
          </w:p>
        </w:tc>
      </w:tr>
      <w:tr>
        <w:tc>
          <w:tcPr>
            <w:tcW w:type="dxa" w:w="1440"/>
          </w:tcPr>
          <w:p>
            <w:r/>
            <w:r>
              <w:t>Single operator (Carfax)</w:t>
            </w:r>
          </w:p>
        </w:tc>
        <w:tc>
          <w:tcPr>
            <w:tcW w:type="dxa" w:w="1440"/>
          </w:tcPr>
          <w:p>
            <w:r/>
            <w:r>
              <w:t>✓</w:t>
            </w:r>
          </w:p>
        </w:tc>
        <w:tc>
          <w:tcPr>
            <w:tcW w:type="dxa" w:w="1440"/>
          </w:tcPr>
          <w:p>
            <w:r/>
            <w:r>
              <w:t>✓</w:t>
            </w:r>
          </w:p>
        </w:tc>
        <w:tc>
          <w:tcPr>
            <w:tcW w:type="dxa" w:w="1440"/>
          </w:tcPr>
          <w:p>
            <w:r/>
            <w:r>
              <w:t>✗</w:t>
            </w:r>
          </w:p>
        </w:tc>
        <w:tc>
          <w:tcPr>
            <w:tcW w:type="dxa" w:w="1440"/>
          </w:tcPr>
          <w:p>
            <w:r/>
            <w:r>
              <w:t>~\$0 marginal</w:t>
            </w:r>
          </w:p>
        </w:tc>
        <w:tc>
          <w:tcPr>
            <w:tcW w:type="dxa" w:w="1440"/>
          </w:tcPr>
          <w:p>
            <w:r/>
            <w:r>
              <w:t>Operator honest, solvent, cooperative forever</w:t>
            </w:r>
          </w:p>
        </w:tc>
      </w:tr>
      <w:tr>
        <w:tc>
          <w:tcPr>
            <w:tcW w:type="dxa" w:w="1440"/>
          </w:tcPr>
          <w:p>
            <w:r/>
            <w:r>
              <w:t>RFC 3161 TSA (+ ERS)</w:t>
            </w:r>
          </w:p>
        </w:tc>
        <w:tc>
          <w:tcPr>
            <w:tcW w:type="dxa" w:w="1440"/>
          </w:tcPr>
          <w:p>
            <w:r/>
            <w:r>
              <w:t>✓</w:t>
            </w:r>
          </w:p>
        </w:tc>
        <w:tc>
          <w:tcPr>
            <w:tcW w:type="dxa" w:w="1440"/>
          </w:tcPr>
          <w:p>
            <w:r/>
            <w:r>
              <w:t>✓</w:t>
            </w:r>
          </w:p>
        </w:tc>
        <w:tc>
          <w:tcPr>
            <w:tcW w:type="dxa" w:w="1440"/>
          </w:tcPr>
          <w:p>
            <w:r/>
            <w:r>
              <w:t>◐</w:t>
            </w:r>
          </w:p>
        </w:tc>
        <w:tc>
          <w:tcPr>
            <w:tcW w:type="dxa" w:w="1440"/>
          </w:tcPr>
          <w:p>
            <w:r/>
            <w:r>
              <w:t>cents</w:t>
            </w:r>
          </w:p>
        </w:tc>
        <w:tc>
          <w:tcPr>
            <w:tcW w:type="dxa" w:w="1440"/>
          </w:tcPr>
          <w:p>
            <w:r/>
            <w:r>
              <w:t>TSA + cert chain valid at verify time; ERS extends</w:t>
            </w:r>
          </w:p>
        </w:tc>
      </w:tr>
      <w:tr>
        <w:tc>
          <w:tcPr>
            <w:tcW w:type="dxa" w:w="1440"/>
          </w:tcPr>
          <w:p>
            <w:r/>
            <w:r>
              <w:t>Federated DB (NMVTIS)</w:t>
            </w:r>
          </w:p>
        </w:tc>
        <w:tc>
          <w:tcPr>
            <w:tcW w:type="dxa" w:w="1440"/>
          </w:tcPr>
          <w:p>
            <w:r/>
            <w:r>
              <w:t>✓</w:t>
            </w:r>
          </w:p>
        </w:tc>
        <w:tc>
          <w:tcPr>
            <w:tcW w:type="dxa" w:w="1440"/>
          </w:tcPr>
          <w:p>
            <w:r/>
            <w:r>
              <w:t>✓</w:t>
            </w:r>
          </w:p>
        </w:tc>
        <w:tc>
          <w:tcPr>
            <w:tcW w:type="dxa" w:w="1440"/>
          </w:tcPr>
          <w:p>
            <w:r/>
            <w:r>
              <w:t>◐</w:t>
            </w:r>
          </w:p>
        </w:tc>
        <w:tc>
          <w:tcPr>
            <w:tcW w:type="dxa" w:w="1440"/>
          </w:tcPr>
          <w:p>
            <w:r/>
            <w:r>
              <w:t>low</w:t>
            </w:r>
          </w:p>
        </w:tc>
        <w:tc>
          <w:tcPr>
            <w:tcW w:type="dxa" w:w="1440"/>
          </w:tcPr>
          <w:p>
            <w:r/>
            <w:r>
              <w:t>Federation integrity + oversight body stable</w:t>
            </w:r>
          </w:p>
        </w:tc>
      </w:tr>
      <w:tr>
        <w:tc>
          <w:tcPr>
            <w:tcW w:type="dxa" w:w="1440"/>
          </w:tcPr>
          <w:p>
            <w:r/>
            <w:r>
              <w:t>CT-style log</w:t>
            </w:r>
          </w:p>
        </w:tc>
        <w:tc>
          <w:tcPr>
            <w:tcW w:type="dxa" w:w="1440"/>
          </w:tcPr>
          <w:p>
            <w:r/>
            <w:r>
              <w:t>✓</w:t>
            </w:r>
          </w:p>
        </w:tc>
        <w:tc>
          <w:tcPr>
            <w:tcW w:type="dxa" w:w="1440"/>
          </w:tcPr>
          <w:p>
            <w:r/>
            <w:r>
              <w:t>✓</w:t>
            </w:r>
          </w:p>
        </w:tc>
        <w:tc>
          <w:tcPr>
            <w:tcW w:type="dxa" w:w="1440"/>
          </w:tcPr>
          <w:p>
            <w:r/>
            <w:r>
              <w:t>✓ (theory) / ◐ (practice)</w:t>
            </w:r>
          </w:p>
        </w:tc>
        <w:tc>
          <w:tcPr>
            <w:tcW w:type="dxa" w:w="1440"/>
          </w:tcPr>
          <w:p>
            <w:r/>
            <w:r>
              <w:t>low</w:t>
            </w:r>
          </w:p>
        </w:tc>
        <w:tc>
          <w:tcPr>
            <w:tcW w:type="dxa" w:w="1440"/>
          </w:tcPr>
          <w:p>
            <w:r/>
            <w:r>
              <w:t xml:space="preserve">≥1 honest monitor </w:t>
            </w:r>
            <w:r>
              <w:rPr>
                <w:i/>
              </w:rPr>
              <w:t>actually</w:t>
            </w:r>
            <w:r>
              <w:t xml:space="preserve"> watches</w:t>
            </w:r>
          </w:p>
        </w:tc>
      </w:tr>
      <w:tr>
        <w:tc>
          <w:tcPr>
            <w:tcW w:type="dxa" w:w="1440"/>
          </w:tcPr>
          <w:p>
            <w:r/>
            <w:r>
              <w:t>Permissioned chain</w:t>
            </w:r>
          </w:p>
        </w:tc>
        <w:tc>
          <w:tcPr>
            <w:tcW w:type="dxa" w:w="1440"/>
          </w:tcPr>
          <w:p>
            <w:r/>
            <w:r>
              <w:t>✓</w:t>
            </w:r>
          </w:p>
        </w:tc>
        <w:tc>
          <w:tcPr>
            <w:tcW w:type="dxa" w:w="1440"/>
          </w:tcPr>
          <w:p>
            <w:r/>
            <w:r>
              <w:t>✓</w:t>
            </w:r>
          </w:p>
        </w:tc>
        <w:tc>
          <w:tcPr>
            <w:tcW w:type="dxa" w:w="1440"/>
          </w:tcPr>
          <w:p>
            <w:r/>
            <w:r>
              <w:t>◐</w:t>
            </w:r>
          </w:p>
        </w:tc>
        <w:tc>
          <w:tcPr>
            <w:tcW w:type="dxa" w:w="1440"/>
          </w:tcPr>
          <w:p>
            <w:r/>
            <w:r>
              <w:t>low</w:t>
            </w:r>
          </w:p>
        </w:tc>
        <w:tc>
          <w:tcPr>
            <w:tcW w:type="dxa" w:w="1440"/>
          </w:tcPr>
          <w:p>
            <w:r/>
            <w:r>
              <w:t>Consortium majority honest</w:t>
            </w:r>
          </w:p>
        </w:tc>
      </w:tr>
      <w:tr>
        <w:tc>
          <w:tcPr>
            <w:tcW w:type="dxa" w:w="1440"/>
          </w:tcPr>
          <w:p>
            <w:r/>
            <w:r>
              <w:t>EVM smart contract (L1/L2)</w:t>
            </w:r>
          </w:p>
        </w:tc>
        <w:tc>
          <w:tcPr>
            <w:tcW w:type="dxa" w:w="1440"/>
          </w:tcPr>
          <w:p>
            <w:r/>
            <w:r>
              <w:t>✓</w:t>
            </w:r>
          </w:p>
        </w:tc>
        <w:tc>
          <w:tcPr>
            <w:tcW w:type="dxa" w:w="1440"/>
          </w:tcPr>
          <w:p>
            <w:r/>
            <w:r>
              <w:t>✓</w:t>
            </w:r>
          </w:p>
        </w:tc>
        <w:tc>
          <w:tcPr>
            <w:tcW w:type="dxa" w:w="1440"/>
          </w:tcPr>
          <w:p>
            <w:r/>
            <w:r>
              <w:t>✓✓</w:t>
            </w:r>
          </w:p>
        </w:tc>
        <w:tc>
          <w:tcPr>
            <w:tcW w:type="dxa" w:w="1440"/>
          </w:tcPr>
          <w:p>
            <w:r/>
            <w:r>
              <w:t>cents (L2) to dollars (L1)</w:t>
            </w:r>
          </w:p>
        </w:tc>
        <w:tc>
          <w:tcPr>
            <w:tcW w:type="dxa" w:w="1440"/>
          </w:tcPr>
          <w:p>
            <w:r/>
            <w:r>
              <w:t>L1 liveness + (L2) rollup DA/settlement</w:t>
            </w:r>
          </w:p>
        </w:tc>
      </w:tr>
      <w:tr>
        <w:tc>
          <w:tcPr>
            <w:tcW w:type="dxa" w:w="1440"/>
          </w:tcPr>
          <w:p>
            <w:r/>
            <w:r>
              <w:t>OpenTimestamps family</w:t>
            </w:r>
          </w:p>
        </w:tc>
        <w:tc>
          <w:tcPr>
            <w:tcW w:type="dxa" w:w="1440"/>
          </w:tcPr>
          <w:p>
            <w:r/>
            <w:r>
              <w:t>✓</w:t>
            </w:r>
          </w:p>
        </w:tc>
        <w:tc>
          <w:tcPr>
            <w:tcW w:type="dxa" w:w="1440"/>
          </w:tcPr>
          <w:p>
            <w:r/>
            <w:r>
              <w:t>✓</w:t>
            </w:r>
          </w:p>
        </w:tc>
        <w:tc>
          <w:tcPr>
            <w:tcW w:type="dxa" w:w="1440"/>
          </w:tcPr>
          <w:p>
            <w:r/>
            <w:r>
              <w:t>✓✓</w:t>
            </w:r>
          </w:p>
        </w:tc>
        <w:tc>
          <w:tcPr>
            <w:tcW w:type="dxa" w:w="1440"/>
          </w:tcPr>
          <w:p>
            <w:r/>
            <w:r>
              <w:t>~free (aggregated)</w:t>
            </w:r>
          </w:p>
        </w:tc>
        <w:tc>
          <w:tcPr>
            <w:tcW w:type="dxa" w:w="1440"/>
          </w:tcPr>
          <w:p>
            <w:r/>
            <w:r>
              <w:t>L1 liveness; aggregator is convenience, not trust</w:t>
            </w:r>
          </w:p>
        </w:tc>
      </w:tr>
    </w:tbl>
    <w:p>
      <w:r>
        <w:t xml:space="preserve">Legend: ✓✓ strong, ✓ yes, ◐ partial/conditional, ✗ no. </w:t>
      </w:r>
      <w:r>
        <w:rPr>
          <w:rFonts w:ascii="Consolas" w:hAnsi="Consolas"/>
          <w:sz w:val="20"/>
        </w:rPr>
        <w:t>[OWN]</w:t>
      </w:r>
    </w:p>
    <w:p>
      <w:r>
        <w:t xml:space="preserve">The matrix collapses to a three-way comparison among CT, OpenTimestamps- family (OTS), and EVM smart-contract anchoring. An earlier draft framed this as CT vs. EVM; that was a false dichotomy — the OTS family is a distinct, genuinely strong alternative that any argument for EVM anchoring must clear </w:t>
      </w:r>
      <w:r>
        <w:rPr>
          <w:rFonts w:ascii="Consolas" w:hAnsi="Consolas"/>
          <w:sz w:val="20"/>
        </w:rPr>
        <w:t>[OWN]</w:t>
      </w:r>
      <w:r>
        <w:t>.</w:t>
      </w:r>
    </w:p>
    <w:p>
      <w:pPr>
        <w:pStyle w:val="Heading1"/>
      </w:pPr>
      <w:r>
        <w:t>3. Blockchain approach — what we built</w:t>
      </w:r>
    </w:p>
    <w:p>
      <w:pPr>
        <w:pStyle w:val="Heading2"/>
      </w:pPr>
      <w:r>
        <w:t>3.1 Architecture</w:t>
      </w:r>
    </w:p>
    <w:p>
      <w:r>
        <w:t xml:space="preserve">The deployed system is deliberately minimal. It exists to make the narrow property </w:t>
      </w:r>
      <w:r>
        <w:rPr>
          <w:i/>
        </w:rPr>
        <w:t>P</w:t>
      </w:r>
      <w:r>
        <w:t xml:space="preserve"> concrete, not to ship a product.</w:t>
      </w:r>
    </w:p>
    <w:p>
      <w:pPr>
        <w:pStyle w:val="ListNumber"/>
      </w:pPr>
      <w:r>
        <w:rPr>
          <w:b/>
        </w:rPr>
        <w:t>Record schema v1.0.</w:t>
      </w:r>
      <w:r>
        <w:t xml:space="preserve"> A vehicle-history record is a structured JSON</w:t>
      </w:r>
      <w:r>
        <w:t xml:space="preserve"> </w:t>
      </w:r>
      <w:r>
        <w:t xml:space="preserve">object: </w:t>
      </w:r>
      <w:r>
        <w:rPr>
          <w:rFonts w:ascii="Consolas" w:hAnsi="Consolas"/>
          <w:sz w:val="20"/>
        </w:rPr>
        <w:t>schemaVersion</w:t>
      </w:r>
      <w:r>
        <w:t xml:space="preserve">, </w:t>
      </w:r>
      <w:r>
        <w:rPr>
          <w:rFonts w:ascii="Consolas" w:hAnsi="Consolas"/>
          <w:sz w:val="20"/>
        </w:rPr>
        <w:t>recordId</w:t>
      </w:r>
      <w:r>
        <w:t xml:space="preserve"> (UUIDv4), </w:t>
      </w:r>
      <w:r>
        <w:rPr>
          <w:rFonts w:ascii="Consolas" w:hAnsi="Consolas"/>
          <w:sz w:val="20"/>
        </w:rPr>
        <w:t>vin</w:t>
      </w:r>
      <w:r>
        <w:t xml:space="preserve"> (ISO 3779), one of</w:t>
      </w:r>
      <w:r>
        <w:t xml:space="preserve"> </w:t>
      </w:r>
      <w:r>
        <w:t>eight event types (</w:t>
      </w:r>
      <w:r>
        <w:rPr>
          <w:rFonts w:ascii="Consolas" w:hAnsi="Consolas"/>
          <w:sz w:val="20"/>
        </w:rPr>
        <w:t>title_transfer</w:t>
      </w:r>
      <w:r>
        <w:t xml:space="preserve">, </w:t>
      </w:r>
      <w:r>
        <w:rPr>
          <w:rFonts w:ascii="Consolas" w:hAnsi="Consolas"/>
          <w:sz w:val="20"/>
        </w:rPr>
        <w:t>odometer_reading</w:t>
      </w:r>
      <w:r>
        <w:t xml:space="preserve">, </w:t>
      </w:r>
      <w:r>
        <w:rPr>
          <w:rFonts w:ascii="Consolas" w:hAnsi="Consolas"/>
          <w:sz w:val="20"/>
        </w:rPr>
        <w:t>service</w:t>
      </w:r>
      <w:r>
        <w:t>,</w:t>
      </w:r>
      <w:r>
        <w:t xml:space="preserve"> </w:t>
      </w:r>
      <w:r>
        <w:rPr>
          <w:rFonts w:ascii="Consolas" w:hAnsi="Consolas"/>
          <w:sz w:val="20"/>
        </w:rPr>
        <w:t>accident</w:t>
      </w:r>
      <w:r>
        <w:t xml:space="preserve">, </w:t>
      </w:r>
      <w:r>
        <w:rPr>
          <w:rFonts w:ascii="Consolas" w:hAnsi="Consolas"/>
          <w:sz w:val="20"/>
        </w:rPr>
        <w:t>total_loss</w:t>
      </w:r>
      <w:r>
        <w:t xml:space="preserve">, </w:t>
      </w:r>
      <w:r>
        <w:rPr>
          <w:rFonts w:ascii="Consolas" w:hAnsi="Consolas"/>
          <w:sz w:val="20"/>
        </w:rPr>
        <w:t>salvage</w:t>
      </w:r>
      <w:r>
        <w:t xml:space="preserve">, </w:t>
      </w:r>
      <w:r>
        <w:rPr>
          <w:rFonts w:ascii="Consolas" w:hAnsi="Consolas"/>
          <w:sz w:val="20"/>
        </w:rPr>
        <w:t>junk</w:t>
      </w:r>
      <w:r>
        <w:t xml:space="preserve">, </w:t>
      </w:r>
      <w:r>
        <w:rPr>
          <w:rFonts w:ascii="Consolas" w:hAnsi="Consolas"/>
          <w:sz w:val="20"/>
        </w:rPr>
        <w:t>inspection</w:t>
      </w:r>
      <w:r>
        <w:t>),</w:t>
      </w:r>
      <w:r>
        <w:t xml:space="preserve"> </w:t>
      </w:r>
      <w:r>
        <w:rPr>
          <w:rFonts w:ascii="Consolas" w:hAnsi="Consolas"/>
          <w:sz w:val="20"/>
        </w:rPr>
        <w:t>location</w:t>
      </w:r>
      <w:r>
        <w:t xml:space="preserve"> (ISO 3166-1 country + admin area + optional postal code),</w:t>
      </w:r>
      <w:r>
        <w:t xml:space="preserve"> </w:t>
      </w:r>
      <w:r>
        <w:rPr>
          <w:rFonts w:ascii="Consolas" w:hAnsi="Consolas"/>
          <w:sz w:val="20"/>
        </w:rPr>
        <w:t>mileage</w:t>
      </w:r>
      <w:r>
        <w:t xml:space="preserve"> + </w:t>
      </w:r>
      <w:r>
        <w:rPr>
          <w:rFonts w:ascii="Consolas" w:hAnsi="Consolas"/>
          <w:sz w:val="20"/>
        </w:rPr>
        <w:t>odometerUnit</w:t>
      </w:r>
      <w:r>
        <w:t xml:space="preserve">, event </w:t>
      </w:r>
      <w:r>
        <w:rPr>
          <w:rFonts w:ascii="Consolas" w:hAnsi="Consolas"/>
          <w:sz w:val="20"/>
        </w:rPr>
        <w:t>timestamp</w:t>
      </w:r>
      <w:r>
        <w:t xml:space="preserve">, </w:t>
      </w:r>
      <w:r>
        <w:rPr>
          <w:rFonts w:ascii="Consolas" w:hAnsi="Consolas"/>
          <w:sz w:val="20"/>
        </w:rPr>
        <w:t>recordCreatedAt</w:t>
      </w:r>
      <w:r>
        <w:t>,</w:t>
      </w:r>
      <w:r>
        <w:t xml:space="preserve"> </w:t>
      </w:r>
      <w:r>
        <w:rPr>
          <w:rFonts w:ascii="Consolas" w:hAnsi="Consolas"/>
          <w:sz w:val="20"/>
        </w:rPr>
        <w:t>contributorAddress</w:t>
      </w:r>
      <w:r>
        <w:t xml:space="preserve">, </w:t>
      </w:r>
      <w:r>
        <w:rPr>
          <w:rFonts w:ascii="Consolas" w:hAnsi="Consolas"/>
          <w:sz w:val="20"/>
        </w:rPr>
        <w:t>previousRecordHash</w:t>
      </w:r>
      <w:r>
        <w:t xml:space="preserve"> (null or bytes32), and</w:t>
      </w:r>
      <w:r>
        <w:t xml:space="preserve"> </w:t>
      </w:r>
      <w:r>
        <w:rPr>
          <w:rFonts w:ascii="Consolas" w:hAnsi="Consolas"/>
          <w:sz w:val="20"/>
        </w:rPr>
        <w:t>sourceIdentifier</w:t>
      </w:r>
      <w:r>
        <w:t xml:space="preserve">. A free-text </w:t>
      </w:r>
      <w:r>
        <w:rPr>
          <w:rFonts w:ascii="Consolas" w:hAnsi="Consolas"/>
          <w:sz w:val="20"/>
        </w:rPr>
        <w:t>details</w:t>
      </w:r>
      <w:r>
        <w:t xml:space="preserve"> field was explicitly dropped:</w:t>
      </w:r>
      <w:r>
        <w:t xml:space="preserve"> </w:t>
      </w:r>
      <w:r>
        <w:t>typo-driven re-anchoring is a predictable failure mode and anything</w:t>
      </w:r>
      <w:r>
        <w:t xml:space="preserve"> </w:t>
      </w:r>
      <w:r>
        <w:t xml:space="preserve">genuinely useful can be expressed in a typed sub-object later </w:t>
      </w:r>
      <w:r>
        <w:rPr>
          <w:rFonts w:ascii="Consolas" w:hAnsi="Consolas"/>
          <w:sz w:val="20"/>
        </w:rPr>
        <w:t>[OWN]</w:t>
      </w:r>
      <w:r>
        <w:t>.</w:t>
      </w:r>
    </w:p>
    <w:p>
      <w:pPr>
        <w:pStyle w:val="ListNumber"/>
      </w:pPr>
      <w:r>
        <w:rPr>
          <w:b/>
        </w:rPr>
        <w:t>Canonicalization.</w:t>
      </w:r>
      <w:r>
        <w:t xml:space="preserve"> </w:t>
      </w:r>
      <w:r>
        <w:rPr>
          <w:rFonts w:ascii="Consolas" w:hAnsi="Consolas"/>
          <w:sz w:val="20"/>
        </w:rPr>
        <w:t>anchor/src/canonicalize.ts</w:t>
      </w:r>
      <w:r>
        <w:t xml:space="preserve"> produces a</w:t>
      </w:r>
      <w:r>
        <w:t xml:space="preserve"> </w:t>
      </w:r>
      <w:r>
        <w:t xml:space="preserve">deterministic byte string for a given record by </w:t>
      </w:r>
      <w:r>
        <w:rPr>
          <w:rFonts w:ascii="Consolas" w:hAnsi="Consolas"/>
          <w:sz w:val="20"/>
        </w:rPr>
        <w:t>abi.encode</w:t>
      </w:r>
      <w:r>
        <w:t xml:space="preserve"> with a</w:t>
      </w:r>
      <w:r>
        <w:t xml:space="preserve"> </w:t>
      </w:r>
      <w:r>
        <w:t xml:space="preserve">fixed field order matching the schema. The nested </w:t>
      </w:r>
      <w:r>
        <w:rPr>
          <w:rFonts w:ascii="Consolas" w:hAnsi="Consolas"/>
          <w:sz w:val="20"/>
        </w:rPr>
        <w:t>location</w:t>
      </w:r>
      <w:r>
        <w:t xml:space="preserve"> is</w:t>
      </w:r>
      <w:r>
        <w:t xml:space="preserve"> </w:t>
      </w:r>
      <w:r>
        <w:t>flattened to three positional fields. Event type is encoded as a</w:t>
      </w:r>
      <w:r>
        <w:t xml:space="preserve"> </w:t>
      </w:r>
      <w:r>
        <w:rPr>
          <w:rFonts w:ascii="Consolas" w:hAnsi="Consolas"/>
          <w:sz w:val="20"/>
        </w:rPr>
        <w:t>uint8</w:t>
      </w:r>
      <w:r>
        <w:t xml:space="preserve"> index over a fixed enum list. </w:t>
      </w:r>
      <w:r>
        <w:rPr>
          <w:rFonts w:ascii="Consolas" w:hAnsi="Consolas"/>
          <w:sz w:val="20"/>
        </w:rPr>
        <w:t>previousRecordHash = null</w:t>
      </w:r>
      <w:r>
        <w:t xml:space="preserve"> is</w:t>
      </w:r>
      <w:r>
        <w:t xml:space="preserve"> </w:t>
      </w:r>
      <w:r>
        <w:t xml:space="preserve">encoded as </w:t>
      </w:r>
      <w:r>
        <w:rPr>
          <w:rFonts w:ascii="Consolas" w:hAnsi="Consolas"/>
          <w:sz w:val="20"/>
        </w:rPr>
        <w:t>bytes32(0)</w:t>
      </w:r>
      <w:r>
        <w:t>.</w:t>
      </w:r>
    </w:p>
    <w:p>
      <w:pPr>
        <w:pStyle w:val="ListNumber"/>
      </w:pPr>
      <w:r>
        <w:rPr>
          <w:b/>
        </w:rPr>
        <w:t>Hash.</w:t>
      </w:r>
      <w:r>
        <w:t xml:space="preserve"> </w:t>
      </w:r>
      <w:r>
        <w:rPr>
          <w:rFonts w:ascii="Consolas" w:hAnsi="Consolas"/>
          <w:sz w:val="20"/>
        </w:rPr>
        <w:t>keccak256</w:t>
      </w:r>
      <w:r>
        <w:t xml:space="preserve"> of the canonicalization </w:t>
      </w:r>
      <w:r>
        <w:rPr>
          <w:rFonts w:ascii="Consolas" w:hAnsi="Consolas"/>
          <w:sz w:val="20"/>
        </w:rPr>
        <w:t>[S3]</w:t>
      </w:r>
      <w:r>
        <w:t>. Chosen</w:t>
      </w:r>
      <w:r>
        <w:t xml:space="preserve"> </w:t>
      </w:r>
      <w:r>
        <w:t>because it is the hash Ethereum uses natively, so the contract can</w:t>
      </w:r>
      <w:r>
        <w:t xml:space="preserve"> </w:t>
      </w:r>
      <w:r>
        <w:t>verify off-chain-computed hashes without an extra library.</w:t>
      </w:r>
    </w:p>
    <w:p>
      <w:pPr>
        <w:pStyle w:val="ListNumber"/>
      </w:pPr>
      <w:r>
        <w:rPr>
          <w:b/>
        </w:rPr>
        <w:t>Contract.</w:t>
      </w:r>
      <w:r>
        <w:t xml:space="preserve"> </w:t>
      </w:r>
      <w:r>
        <w:rPr>
          <w:rFonts w:ascii="Consolas" w:hAnsi="Consolas"/>
          <w:sz w:val="20"/>
        </w:rPr>
        <w:t>anchor/contracts/RecordAnchor.sol</w:t>
      </w:r>
      <w:r>
        <w:t xml:space="preserve"> exposes:</w:t>
      </w:r>
      <w:r>
        <w:t xml:space="preserve"> </w:t>
      </w:r>
      <w:r>
        <w:t xml:space="preserve">- </w:t>
      </w:r>
      <w:r>
        <w:rPr>
          <w:rFonts w:ascii="Consolas" w:hAnsi="Consolas"/>
          <w:sz w:val="20"/>
        </w:rPr>
        <w:t>anchor(bytes32 hash)</w:t>
      </w:r>
      <w:r>
        <w:t xml:space="preserve"> — single-hash anchoring (Option 1).</w:t>
      </w:r>
      <w:r>
        <w:t xml:space="preserve"> </w:t>
      </w:r>
      <w:r>
        <w:t xml:space="preserve">- </w:t>
      </w:r>
      <w:r>
        <w:rPr>
          <w:rFonts w:ascii="Consolas" w:hAnsi="Consolas"/>
          <w:sz w:val="20"/>
        </w:rPr>
        <w:t>anchorRoot(bytes32 root)</w:t>
      </w:r>
      <w:r>
        <w:t xml:space="preserve"> — anchors a Merkle root of a batch</w:t>
      </w:r>
      <w:r>
        <w:t xml:space="preserve"> </w:t>
      </w:r>
      <w:r>
        <w:t xml:space="preserve">(Option 3), with </w:t>
      </w:r>
      <w:r>
        <w:rPr>
          <w:rFonts w:ascii="Consolas" w:hAnsi="Consolas"/>
          <w:sz w:val="20"/>
        </w:rPr>
        <w:t>verifyLeaf(leaf, root, proof[])</w:t>
      </w:r>
      <w:r>
        <w:t xml:space="preserve"> for inclusion</w:t>
      </w:r>
      <w:r>
        <w:t xml:space="preserve"> </w:t>
      </w:r>
      <w:r>
        <w:t xml:space="preserve">proofs using OpenZeppelin's </w:t>
      </w:r>
      <w:r>
        <w:rPr>
          <w:rFonts w:ascii="Consolas" w:hAnsi="Consolas"/>
          <w:sz w:val="20"/>
        </w:rPr>
        <w:t>MerkleProof</w:t>
      </w:r>
      <w:r>
        <w:t xml:space="preserve"> </w:t>
      </w:r>
      <w:r>
        <w:rPr>
          <w:rFonts w:ascii="Consolas" w:hAnsi="Consolas"/>
          <w:sz w:val="20"/>
        </w:rPr>
        <w:t>[S?:oz-merkle-proof]</w:t>
      </w:r>
      <w:r>
        <w:t>.</w:t>
      </w:r>
      <w:r>
        <w:t xml:space="preserve"> </w:t>
      </w:r>
      <w:r>
        <w:t xml:space="preserve">- </w:t>
      </w:r>
      <w:r>
        <w:rPr>
          <w:rFonts w:ascii="Consolas" w:hAnsi="Consolas"/>
          <w:sz w:val="20"/>
        </w:rPr>
        <w:t>canonicalHash(...)</w:t>
      </w:r>
      <w:r>
        <w:t xml:space="preserve"> — on-chain re-computation of the canonical hash</w:t>
      </w:r>
      <w:r>
        <w:t xml:space="preserve"> </w:t>
      </w:r>
      <w:r>
        <w:t>over schema fields, used solely for hash-parity tests against the</w:t>
      </w:r>
      <w:r>
        <w:t xml:space="preserve"> </w:t>
      </w:r>
      <w:r>
        <w:t>TypeScript canonicalizer.</w:t>
      </w:r>
      <w:r>
        <w:t xml:space="preserve"> </w:t>
      </w:r>
      <w:r>
        <w:t>Duplicate anchors revert (first-writer-wins). There is no access</w:t>
      </w:r>
      <w:r>
        <w:t xml:space="preserve"> </w:t>
      </w:r>
      <w:r>
        <w:t>control — anyone can anchor anything. That is intentional: anchoring</w:t>
      </w:r>
      <w:r>
        <w:t xml:space="preserve"> </w:t>
      </w:r>
      <w:r>
        <w:t>binds content and time, not identity. Who submitted is an attestation</w:t>
      </w:r>
      <w:r>
        <w:t xml:space="preserve"> </w:t>
      </w:r>
      <w:r>
        <w:t>concern.</w:t>
      </w:r>
    </w:p>
    <w:p>
      <w:pPr>
        <w:pStyle w:val="ListNumber"/>
      </w:pPr>
      <w:r>
        <w:rPr>
          <w:b/>
        </w:rPr>
        <w:t>Deployment.</w:t>
      </w:r>
      <w:r>
        <w:t xml:space="preserve"> Base Sepolia, contract verified on Basescan,</w:t>
      </w:r>
      <w:r>
        <w:t xml:space="preserve"> </w:t>
      </w:r>
      <w:r>
        <w:t xml:space="preserve">deployment record in </w:t>
      </w:r>
      <w:r>
        <w:rPr>
          <w:rFonts w:ascii="Consolas" w:hAnsi="Consolas"/>
          <w:sz w:val="20"/>
        </w:rPr>
        <w:t>anchor/deployments.json</w:t>
      </w:r>
      <w:r>
        <w:t xml:space="preserve"> with block number, gas</w:t>
      </w:r>
      <w:r>
        <w:t xml:space="preserve"> </w:t>
      </w:r>
      <w:r>
        <w:t>used, and deployer address. Base Sepolia was chosen for free testnet</w:t>
      </w:r>
      <w:r>
        <w:t xml:space="preserve"> </w:t>
      </w:r>
      <w:r>
        <w:t xml:space="preserve">ETH and EVM parity with mainnet </w:t>
      </w:r>
      <w:r>
        <w:rPr>
          <w:rFonts w:ascii="Consolas" w:hAnsi="Consolas"/>
          <w:sz w:val="20"/>
        </w:rPr>
        <w:t>[S2]</w:t>
      </w:r>
      <w:r>
        <w:t>.</w:t>
      </w:r>
    </w:p>
    <w:p>
      <w:pPr>
        <w:pStyle w:val="ListNumber"/>
      </w:pPr>
      <w:r>
        <w:rPr>
          <w:b/>
        </w:rPr>
        <w:t>Verifier UI.</w:t>
      </w:r>
      <w:r>
        <w:t xml:space="preserve"> </w:t>
      </w:r>
      <w:r>
        <w:rPr>
          <w:rFonts w:ascii="Consolas" w:hAnsi="Consolas"/>
          <w:sz w:val="20"/>
        </w:rPr>
        <w:t>anchor/verifier/index.html</w:t>
      </w:r>
      <w:r>
        <w:t xml:space="preserve"> is a zero-dependency</w:t>
      </w:r>
      <w:r>
        <w:t xml:space="preserve"> </w:t>
      </w:r>
      <w:r>
        <w:t>static page that canonicalizes a pasted record, computes its hash in</w:t>
      </w:r>
      <w:r>
        <w:t xml:space="preserve"> </w:t>
      </w:r>
      <w:r>
        <w:t xml:space="preserve">the browser, calls </w:t>
      </w:r>
      <w:r>
        <w:rPr>
          <w:rFonts w:ascii="Consolas" w:hAnsi="Consolas"/>
          <w:sz w:val="20"/>
        </w:rPr>
        <w:t>getAnchor(hash)</w:t>
      </w:r>
      <w:r>
        <w:t xml:space="preserve"> on the deployed contract over a</w:t>
      </w:r>
      <w:r>
        <w:t xml:space="preserve"> </w:t>
      </w:r>
      <w:r>
        <w:t xml:space="preserve">public RPC, and reports </w:t>
      </w:r>
      <w:r>
        <w:rPr>
          <w:rFonts w:ascii="Consolas" w:hAnsi="Consolas"/>
          <w:sz w:val="20"/>
        </w:rPr>
        <w:t>ANCHORED</w:t>
      </w:r>
      <w:r>
        <w:t xml:space="preserve"> / </w:t>
      </w:r>
      <w:r>
        <w:rPr>
          <w:rFonts w:ascii="Consolas" w:hAnsi="Consolas"/>
          <w:sz w:val="20"/>
        </w:rPr>
        <w:t>NOT ANCHORED</w:t>
      </w:r>
      <w:r>
        <w:t xml:space="preserve"> / </w:t>
      </w:r>
      <w:r>
        <w:rPr>
          <w:rFonts w:ascii="Consolas" w:hAnsi="Consolas"/>
          <w:sz w:val="20"/>
        </w:rPr>
        <w:t>HASH MISMATCH</w:t>
      </w:r>
      <w:r>
        <w:t>.</w:t>
      </w:r>
      <w:r>
        <w:t xml:space="preserve"> </w:t>
      </w:r>
      <w:r>
        <w:t>A "Tamper" button demonstrates the content-binding property visually:</w:t>
      </w:r>
      <w:r>
        <w:t xml:space="preserve"> </w:t>
      </w:r>
      <w:r>
        <w:t>flipping one digit of the record flips the status.</w:t>
      </w:r>
    </w:p>
    <w:p>
      <w:pPr>
        <w:pStyle w:val="Heading2"/>
      </w:pPr>
      <w:r>
        <w:t>3.2 Why EVM smart contract rather than OTS</w:t>
      </w:r>
    </w:p>
    <w:p>
      <w:r>
        <w:t xml:space="preserve">On property </w:t>
      </w:r>
      <w:r>
        <w:rPr>
          <w:i/>
        </w:rPr>
        <w:t>P</w:t>
      </w:r>
      <w:r>
        <w:t xml:space="preserve"> in isolation, EVM smart-contract anchoring and publication-based anchoring (OTS family) are very close. OTS is cheaper (aggregation amortises one on-chain transaction over thousands of hashes), has a longer operational track record via Bitcoin, and has no smart-contract attack surface. </w:t>
      </w:r>
      <w:r>
        <w:rPr>
          <w:rFonts w:ascii="Consolas" w:hAnsi="Consolas"/>
          <w:sz w:val="20"/>
        </w:rPr>
        <w:t>[OWN]</w:t>
      </w:r>
    </w:p>
    <w:p>
      <w:r>
        <w:t>The honest argument for EVM anchoring *</w:t>
      </w:r>
      <w:r>
        <w:rPr>
          <w:i/>
        </w:rPr>
        <w:t xml:space="preserve">for property </w:t>
      </w:r>
      <w:r>
        <w:t>P</w:t>
      </w:r>
      <w:r>
        <w:rPr>
          <w:i/>
        </w:rPr>
        <w:t xml:space="preserve"> alone</w:t>
      </w:r>
      <w:r>
        <w:t>* is narrow:</w:t>
      </w:r>
    </w:p>
    <w:p>
      <w:pPr>
        <w:pStyle w:val="ListBullet"/>
      </w:pPr>
      <w:r>
        <w:rPr>
          <w:b/>
        </w:rPr>
        <w:t>Tighter time binding.</w:t>
      </w:r>
      <w:r>
        <w:t xml:space="preserve"> EVM anchoring commits directly in a block;</w:t>
      </w:r>
    </w:p>
    <w:p>
      <w:r>
        <w:t xml:space="preserve">  OTS aggregation introduces a delay (minutes-to-hours) during which the client holds only an aggregator receipt.</w:t>
      </w:r>
    </w:p>
    <w:p>
      <w:pPr>
        <w:pStyle w:val="ListBullet"/>
      </w:pPr>
      <w:r>
        <w:rPr>
          <w:b/>
        </w:rPr>
        <w:t>Self-contained verification.</w:t>
      </w:r>
      <w:r>
        <w:t xml:space="preserve"> EVM verification needs only the chain</w:t>
      </w:r>
    </w:p>
    <w:p>
      <w:r>
        <w:t xml:space="preserve">  and the record. OTS verification needs the chain, the record, </w:t>
      </w:r>
      <w:r>
        <w:rPr>
          <w:i/>
        </w:rPr>
        <w:t>and</w:t>
      </w:r>
      <w:r>
        <w:t xml:space="preserve"> the Merkle path the aggregator issued — a portable but extra artifact.</w:t>
      </w:r>
    </w:p>
    <w:p>
      <w:r>
        <w:t xml:space="preserve">If property </w:t>
      </w:r>
      <w:r>
        <w:rPr>
          <w:i/>
        </w:rPr>
        <w:t>P</w:t>
      </w:r>
      <w:r>
        <w:t xml:space="preserve"> were the only consideration, a fair write-up would probably recommend the OTS family. The project lands on EVM because of </w:t>
      </w:r>
      <w:r>
        <w:rPr>
          <w:i/>
        </w:rPr>
        <w:t>composability with the four out-of-scope primitives</w:t>
      </w:r>
      <w:r>
        <w:t xml:space="preserve"> (attestation, reputation, privacy, fraud detection), which is a property of the larger protocol, not of anchoring in isolation. Stating that plainly is cheaper than dressing up a substrate choice in property-</w:t>
      </w:r>
      <w:r>
        <w:rPr>
          <w:i/>
        </w:rPr>
        <w:t>P</w:t>
      </w:r>
      <w:r>
        <w:t xml:space="preserve"> language </w:t>
      </w:r>
      <w:r>
        <w:rPr>
          <w:rFonts w:ascii="Consolas" w:hAnsi="Consolas"/>
          <w:sz w:val="20"/>
        </w:rPr>
        <w:t>[OWN]</w:t>
      </w:r>
      <w:r>
        <w:t>.</w:t>
      </w:r>
    </w:p>
    <w:p>
      <w:pPr>
        <w:pStyle w:val="Heading2"/>
      </w:pPr>
      <w:r>
        <w:t>3.3 Required infrastructure</w:t>
      </w:r>
    </w:p>
    <w:p>
      <w:r>
        <w:t>What the demo relies on today:</w:t>
      </w:r>
    </w:p>
    <w:p>
      <w:pPr>
        <w:pStyle w:val="ListBullet"/>
      </w:pPr>
      <w:r>
        <w:rPr>
          <w:b/>
        </w:rPr>
        <w:t>Base Sepolia testnet</w:t>
      </w:r>
      <w:r>
        <w:t xml:space="preserve"> (Coinbase rollup) </w:t>
      </w:r>
      <w:r>
        <w:rPr>
          <w:rFonts w:ascii="Consolas" w:hAnsi="Consolas"/>
          <w:sz w:val="20"/>
        </w:rPr>
        <w:t>[S2]</w:t>
      </w:r>
      <w:r>
        <w:t>. An Ethereum</w:t>
      </w:r>
    </w:p>
    <w:p>
      <w:r>
        <w:t xml:space="preserve">  L2 provides sub-cent per-record cost in the amortised case; Base Sepolia provides free testnet ETH.</w:t>
      </w:r>
    </w:p>
    <w:p>
      <w:pPr>
        <w:pStyle w:val="ListBullet"/>
      </w:pPr>
      <w:r>
        <w:rPr>
          <w:b/>
        </w:rPr>
        <w:t>Public RPC</w:t>
      </w:r>
      <w:r>
        <w:t xml:space="preserve"> (</w:t>
      </w:r>
      <w:r>
        <w:rPr>
          <w:rFonts w:ascii="Consolas" w:hAnsi="Consolas"/>
          <w:sz w:val="20"/>
        </w:rPr>
        <w:t>https://sepolia.base.org</w:t>
      </w:r>
      <w:r>
        <w:t>) for the verifier UI.</w:t>
      </w:r>
    </w:p>
    <w:p>
      <w:pPr>
        <w:pStyle w:val="ListBullet"/>
      </w:pPr>
      <w:r>
        <w:rPr>
          <w:b/>
        </w:rPr>
        <w:t>OpenZeppelin MerkleProof</w:t>
      </w:r>
      <w:r>
        <w:t xml:space="preserve"> for on-chain inclusion proofs.</w:t>
      </w:r>
    </w:p>
    <w:p>
      <w:pPr>
        <w:pStyle w:val="ListBullet"/>
      </w:pPr>
      <w:r>
        <w:rPr>
          <w:b/>
        </w:rPr>
        <w:t>Hardhat + TypeScript</w:t>
      </w:r>
      <w:r>
        <w:t xml:space="preserve"> for the development environment.</w:t>
      </w:r>
    </w:p>
    <w:p>
      <w:r>
        <w:t xml:space="preserve">What a production deployment would additionally require (noted here but not solved): an attestation layer (on-chain attestations such as EAS </w:t>
      </w:r>
      <w:r>
        <w:rPr>
          <w:rFonts w:ascii="Consolas" w:hAnsi="Consolas"/>
          <w:sz w:val="20"/>
        </w:rPr>
        <w:t>[S?:eas]</w:t>
      </w:r>
      <w:r>
        <w:t xml:space="preserve">, verifiable credentials, or domain registries) to bind records to identities; a privacy layer (hashed field commitments, Merkle revelation, or ZK proofs over canonicalised records) to reconcile on-chain immutability with GDPR Article 17 </w:t>
      </w:r>
      <w:r>
        <w:rPr>
          <w:rFonts w:ascii="Consolas" w:hAnsi="Consolas"/>
          <w:sz w:val="20"/>
        </w:rPr>
        <w:t>[S?:gdpr-erasure]</w:t>
      </w:r>
      <w:r>
        <w:t>; cross- jurisdiction data-ingest partnerships; and a sustainable model for who pays the gas at scale.</w:t>
      </w:r>
    </w:p>
    <w:p>
      <w:pPr>
        <w:pStyle w:val="Heading1"/>
      </w:pPr>
      <w:r>
        <w:t>4. Evaluation — pros and cons</w:t>
      </w:r>
    </w:p>
    <w:p>
      <w:pPr>
        <w:pStyle w:val="Heading2"/>
      </w:pPr>
      <w:r>
        <w:t>4.1 What this design actually proves</w:t>
      </w:r>
    </w:p>
    <w:p>
      <w:pPr>
        <w:pStyle w:val="ListBullet"/>
      </w:pPr>
      <w:r>
        <w:rPr>
          <w:b/>
        </w:rPr>
        <w:t>Content binding is real.</w:t>
      </w:r>
      <w:r>
        <w:t xml:space="preserve"> The "Tamper" demo shows any single-byte</w:t>
      </w:r>
    </w:p>
    <w:p>
      <w:r>
        <w:t xml:space="preserve">  change to a record produces a different keccak256 and the verifier reports </w:t>
      </w:r>
      <w:r>
        <w:rPr>
          <w:rFonts w:ascii="Consolas" w:hAnsi="Consolas"/>
          <w:sz w:val="20"/>
        </w:rPr>
        <w:t>HASH MISMATCH</w:t>
      </w:r>
      <w:r>
        <w:t>. This is not an artifact of how the contract is written; it is a property of the hash function.</w:t>
      </w:r>
    </w:p>
    <w:p>
      <w:pPr>
        <w:pStyle w:val="ListBullet"/>
      </w:pPr>
      <w:r>
        <w:rPr>
          <w:b/>
        </w:rPr>
        <w:t>Time binding is real, with a caveat.</w:t>
      </w:r>
      <w:r>
        <w:t xml:space="preserve"> </w:t>
      </w:r>
      <w:r>
        <w:rPr>
          <w:rFonts w:ascii="Consolas" w:hAnsi="Consolas"/>
          <w:sz w:val="20"/>
        </w:rPr>
        <w:t>block.timestamp</w:t>
      </w:r>
      <w:r>
        <w:t xml:space="preserve"> binds the</w:t>
      </w:r>
    </w:p>
    <w:p>
      <w:r>
        <w:t xml:space="preserve">  record to a block that exists in a public chain and is observable by anyone. Proposer discretion over </w:t>
      </w:r>
      <w:r>
        <w:rPr>
          <w:rFonts w:ascii="Consolas" w:hAnsi="Consolas"/>
          <w:sz w:val="20"/>
        </w:rPr>
        <w:t>block.timestamp</w:t>
      </w:r>
      <w:r>
        <w:t xml:space="preserve"> is bounded (must exceed parent, must be within a short future tolerance), not zero </w:t>
      </w:r>
      <w:r>
        <w:rPr>
          <w:rFonts w:ascii="Consolas" w:hAnsi="Consolas"/>
          <w:sz w:val="20"/>
        </w:rPr>
        <w:t>[S?:ethereum-timestamp-rules]</w:t>
      </w:r>
      <w:r>
        <w:t xml:space="preserve"> — so the honest claim is "bound to a block time within seconds of wall-clock," not "unforgeable."</w:t>
      </w:r>
    </w:p>
    <w:p>
      <w:pPr>
        <w:pStyle w:val="ListBullet"/>
      </w:pPr>
      <w:r>
        <w:rPr>
          <w:b/>
        </w:rPr>
        <w:t>Operator independence is the actual contribution.</w:t>
      </w:r>
      <w:r>
        <w:t xml:space="preserve"> Verification at</w:t>
      </w:r>
    </w:p>
    <w:p>
      <w:r>
        <w:t xml:space="preserve">  </w:t>
      </w:r>
      <w:r>
        <w:rPr>
          <w:i/>
        </w:rPr>
        <w:t>T₁</w:t>
      </w:r>
      <w:r>
        <w:t xml:space="preserve"> requires only the deployed contract's code and the chain's liveness. It does not require the original record custodian to exist, cooperate, or remain honest. This is the property centralised alternatives (Carfax, a TSA) structurally cannot provide.</w:t>
      </w:r>
    </w:p>
    <w:p>
      <w:pPr>
        <w:pStyle w:val="Heading2"/>
      </w:pPr>
      <w:r>
        <w:t>4.2 What this design does NOT prove</w:t>
      </w:r>
    </w:p>
    <w:p>
      <w:r>
        <w:t xml:space="preserve">Re-stated from the threat model in </w:t>
      </w:r>
      <w:r>
        <w:rPr>
          <w:rFonts w:ascii="Consolas" w:hAnsi="Consolas"/>
          <w:sz w:val="20"/>
        </w:rPr>
        <w:t>problem1-record-anchoring.md</w:t>
      </w:r>
      <w:r>
        <w:t xml:space="preserve"> §6 because it is the backbone of this paper's argument:</w:t>
      </w:r>
    </w:p>
    <w:p>
      <w:pPr>
        <w:pStyle w:val="ListBullet"/>
      </w:pPr>
      <w:r>
        <w:rPr>
          <w:b/>
        </w:rPr>
        <w:t>Not that the record is true.</w:t>
      </w:r>
      <w:r>
        <w:t xml:space="preserve"> Garbage in, anchored garbage out.</w:t>
      </w:r>
    </w:p>
    <w:p>
      <w:pPr>
        <w:pStyle w:val="ListBullet"/>
      </w:pPr>
      <w:r>
        <w:rPr>
          <w:b/>
        </w:rPr>
        <w:t>Not that the submitter is who they claim to be.</w:t>
      </w:r>
      <w:r>
        <w:t xml:space="preserve"> That is attestation</w:t>
      </w:r>
    </w:p>
    <w:p>
      <w:r>
        <w:t xml:space="preserve">  (Problem 2), explicitly out of scope.</w:t>
      </w:r>
    </w:p>
    <w:p>
      <w:pPr>
        <w:pStyle w:val="ListBullet"/>
      </w:pPr>
      <w:r>
        <w:rPr>
          <w:b/>
        </w:rPr>
        <w:t>Not that the record is complete.</w:t>
      </w:r>
      <w:r>
        <w:t xml:space="preserve"> A dishonest actor can omit events</w:t>
      </w:r>
    </w:p>
    <w:p>
      <w:r>
        <w:t xml:space="preserve">  and anchor only the ones they like. Omissions are undetectable.</w:t>
      </w:r>
    </w:p>
    <w:p>
      <w:pPr>
        <w:pStyle w:val="ListBullet"/>
      </w:pPr>
      <w:r>
        <w:rPr>
          <w:i/>
        </w:rPr>
      </w:r>
      <w:r>
        <w:rPr>
          <w:i/>
        </w:rPr>
        <w:t xml:space="preserve">Not that the record existed </w:t>
      </w:r>
      <w:r>
        <w:t>before</w:t>
      </w:r>
      <w:r>
        <w:rPr>
          <w:i/>
        </w:rPr>
        <w:t xml:space="preserve"> it was anchored.</w:t>
      </w:r>
      <w:r>
        <w:t>* Only that</w:t>
      </w:r>
    </w:p>
    <w:p>
      <w:r>
        <w:t xml:space="preserve">  it existed </w:t>
      </w:r>
      <w:r>
        <w:rPr>
          <w:i/>
        </w:rPr>
        <w:t>by</w:t>
      </w:r>
      <w:r>
        <w:t xml:space="preserve"> the anchoring time. (The pre-dating attack: hold a record for months, then anchor it. Defending against this requires an independent attestation that authoring happened close to the event — again, attestation, out of scope.)</w:t>
      </w:r>
    </w:p>
    <w:p>
      <w:pPr>
        <w:pStyle w:val="Heading2"/>
      </w:pPr>
      <w:r>
        <w:t>4.3 Pros of the blockchain approach (EVM smart-contract anchoring)</w:t>
      </w:r>
    </w:p>
    <w:p>
      <w:pPr>
        <w:pStyle w:val="ListBullet"/>
      </w:pPr>
      <w:r>
        <w:rPr>
          <w:b/>
        </w:rPr>
        <w:t>Operator independence.</w:t>
      </w:r>
      <w:r>
        <w:t xml:space="preserve"> No identifiable party can be coerced,</w:t>
      </w:r>
    </w:p>
    <w:p>
      <w:r>
        <w:t xml:space="preserve">  go bankrupt, or change terms and thereby invalidate past records.</w:t>
      </w:r>
    </w:p>
    <w:p>
      <w:pPr>
        <w:pStyle w:val="ListBullet"/>
      </w:pPr>
      <w:r>
        <w:rPr>
          <w:b/>
        </w:rPr>
        <w:t>Censorship resistance, with qualification.</w:t>
      </w:r>
      <w:r>
        <w:t xml:space="preserve"> Substantially harder to</w:t>
      </w:r>
    </w:p>
    <w:p>
      <w:r>
        <w:t xml:space="preserve">  censor than a named log operator; not impossible, because proposer- level censorship exists and L2 force-inclusion mechanisms vary by rollup and are not uniformly battle-tested </w:t>
      </w:r>
      <w:r>
        <w:rPr>
          <w:rFonts w:ascii="Consolas" w:hAnsi="Consolas"/>
          <w:sz w:val="20"/>
        </w:rPr>
        <w:t>[OWN]</w:t>
      </w:r>
      <w:r>
        <w:t>.</w:t>
      </w:r>
    </w:p>
    <w:p>
      <w:pPr>
        <w:pStyle w:val="ListBullet"/>
      </w:pPr>
      <w:r>
        <w:rPr>
          <w:b/>
        </w:rPr>
        <w:t>Composability.</w:t>
      </w:r>
      <w:r>
        <w:t xml:space="preserve"> An on-chain anchor commitment is directly</w:t>
      </w:r>
    </w:p>
    <w:p>
      <w:r>
        <w:t xml:space="preserve">  referenceable by other on-chain primitives (attestation registries, ZK verifier contracts, access-control contracts). This is the property that makes EVM the right substrate for </w:t>
      </w:r>
      <w:r>
        <w:rPr>
          <w:i/>
        </w:rPr>
        <w:t>the larger protocol</w:t>
      </w:r>
      <w:r>
        <w:t xml:space="preserve">, even when it is close to OTS on property </w:t>
      </w:r>
      <w:r>
        <w:rPr>
          <w:i/>
        </w:rPr>
        <w:t>P</w:t>
      </w:r>
      <w:r>
        <w:t xml:space="preserve"> alone.</w:t>
      </w:r>
    </w:p>
    <w:p>
      <w:pPr>
        <w:pStyle w:val="ListBullet"/>
      </w:pPr>
      <w:r>
        <w:rPr>
          <w:b/>
        </w:rPr>
        <w:t>Low per-record cost on L2.</w:t>
      </w:r>
      <w:r>
        <w:t xml:space="preserve"> Cents or fractions of a cent in the</w:t>
      </w:r>
    </w:p>
    <w:p>
      <w:r>
        <w:t xml:space="preserve">  batched (Merkle-root) case </w:t>
      </w:r>
      <w:r>
        <w:rPr>
          <w:rFonts w:ascii="Consolas" w:hAnsi="Consolas"/>
          <w:sz w:val="20"/>
        </w:rPr>
        <w:t>[S2]</w:t>
      </w:r>
      <w:r>
        <w:t>.</w:t>
      </w:r>
    </w:p>
    <w:p>
      <w:pPr>
        <w:pStyle w:val="ListBullet"/>
      </w:pPr>
      <w:r>
        <w:rPr>
          <w:b/>
        </w:rPr>
        <w:t>No bespoke infrastructure to run.</w:t>
      </w:r>
      <w:r>
        <w:t xml:space="preserve"> No log servers, no monitor</w:t>
      </w:r>
    </w:p>
    <w:p>
      <w:r>
        <w:t xml:space="preserve">  ecosystem, no TSA, no federation to stand up. Anyone with an RPC node or a block explorer can verify.</w:t>
      </w:r>
    </w:p>
    <w:p>
      <w:pPr>
        <w:pStyle w:val="Heading2"/>
      </w:pPr>
      <w:r>
        <w:t>4.4 Cons of the blockchain approach</w:t>
      </w:r>
    </w:p>
    <w:p>
      <w:pPr>
        <w:pStyle w:val="ListBullet"/>
      </w:pPr>
      <w:r>
        <w:rPr>
          <w:b/>
        </w:rPr>
        <w:t>Honest trust assumption shift, not elimination.</w:t>
      </w:r>
      <w:r>
        <w:t xml:space="preserve"> Users now depend on</w:t>
      </w:r>
    </w:p>
    <w:p>
      <w:r>
        <w:t xml:space="preserve">  Ethereum L1 liveness and, for L2s, rollup-specific data availability and settlement. Those assumptions are weaker (more adversarial- resistant) than "one company stays honest" but they are assumptions, not nothing.</w:t>
      </w:r>
    </w:p>
    <w:p>
      <w:pPr>
        <w:pStyle w:val="ListBullet"/>
      </w:pPr>
      <w:r>
        <w:rPr>
          <w:b/>
        </w:rPr>
        <w:t>Smart-contract attack surface.</w:t>
      </w:r>
      <w:r>
        <w:t xml:space="preserve"> Not present in OTS publication</w:t>
      </w:r>
    </w:p>
    <w:p>
      <w:r>
        <w:t xml:space="preserve">  anchoring. Any logic written into the contract is additional code that can have bugs. The minimal contract here is roughly 100 lines, but any future composability will expand this.</w:t>
      </w:r>
    </w:p>
    <w:p>
      <w:pPr>
        <w:pStyle w:val="ListBullet"/>
      </w:pPr>
      <w:r>
        <w:t>**Anchoring alone is marketing-adjacent without the other four</w:t>
      </w:r>
    </w:p>
    <w:p>
      <w:r>
        <w:t xml:space="preserve">  primitives.** A chain of tamper-evident commitments to unattested, possibly-incomplete, possibly-backdated records is not "immutable vehicle history." It is a tamper-evident database that still inherits every truthfulness problem of its inputs. Calling storage integrity "data integrity" is exactly the conflation this paper argues against.</w:t>
      </w:r>
    </w:p>
    <w:p>
      <w:pPr>
        <w:pStyle w:val="ListBullet"/>
      </w:pPr>
      <w:r>
        <w:rPr>
          <w:b/>
        </w:rPr>
        <w:t>Governance of the canonicalizer.</w:t>
      </w:r>
      <w:r>
        <w:t xml:space="preserve"> The canonical-encoding rule and</w:t>
      </w:r>
    </w:p>
    <w:p>
      <w:r>
        <w:t xml:space="preserve">  the event-type enum are effectively part of the trust surface. Changing either later without a migration plan breaks verification for historical records. Version pinning (</w:t>
      </w:r>
      <w:r>
        <w:rPr>
          <w:rFonts w:ascii="Consolas" w:hAnsi="Consolas"/>
          <w:sz w:val="20"/>
        </w:rPr>
        <w:t>schemaVersion: "1.0"</w:t>
      </w:r>
      <w:r>
        <w:t>) is in place; a real migration path is future work.</w:t>
      </w:r>
    </w:p>
    <w:p>
      <w:pPr>
        <w:pStyle w:val="ListBullet"/>
      </w:pPr>
      <w:r>
        <w:rPr>
          <w:b/>
        </w:rPr>
        <w:t>Privacy tension.</w:t>
      </w:r>
      <w:r>
        <w:t xml:space="preserve"> VINs linked to owners can be personal data under</w:t>
      </w:r>
    </w:p>
    <w:p>
      <w:r>
        <w:t xml:space="preserve">  GDPR/DPPA. On-chain hashes are irreversible to PII, but the off-chain record is not, and anchoring it publicly-and-immutably commits to the existence of </w:t>
      </w:r>
      <w:r>
        <w:rPr>
          <w:i/>
        </w:rPr>
        <w:t>something</w:t>
      </w:r>
      <w:r>
        <w:t xml:space="preserve"> about that VIN at that time. Reconciling Article 17 with a permanently observable anchor is a real open problem, not a documentation-only one </w:t>
      </w:r>
      <w:r>
        <w:rPr>
          <w:rFonts w:ascii="Consolas" w:hAnsi="Consolas"/>
          <w:sz w:val="20"/>
        </w:rPr>
        <w:t>[S?:gdpr-erasure]</w:t>
      </w:r>
      <w:r>
        <w:t>.</w:t>
      </w:r>
    </w:p>
    <w:p>
      <w:pPr>
        <w:pStyle w:val="ListBullet"/>
      </w:pPr>
      <w:r>
        <w:rPr>
          <w:b/>
        </w:rPr>
        <w:t>Honest positioning vs. alternatives.</w:t>
      </w:r>
      <w:r>
        <w:t xml:space="preserve"> For property </w:t>
      </w:r>
      <w:r>
        <w:rPr>
          <w:i/>
        </w:rPr>
        <w:t>P</w:t>
      </w:r>
      <w:r>
        <w:t xml:space="preserve"> alone, OTS</w:t>
      </w:r>
    </w:p>
    <w:p>
      <w:r>
        <w:t xml:space="preserve">  is cheaper and simpler. For property </w:t>
      </w:r>
      <w:r>
        <w:rPr>
          <w:i/>
        </w:rPr>
        <w:t>P</w:t>
      </w:r>
      <w:r>
        <w:t xml:space="preserve"> alone, CT would cover most of the same ground without a blockchain. The EVM choice is defensible only by appeal to the </w:t>
      </w:r>
      <w:r>
        <w:rPr>
          <w:i/>
        </w:rPr>
        <w:t>larger protocol</w:t>
      </w:r>
      <w:r>
        <w:t>.</w:t>
      </w:r>
    </w:p>
    <w:p>
      <w:pPr>
        <w:pStyle w:val="Heading2"/>
      </w:pPr>
      <w:r>
        <w:t>4.5 What is missing from this submission (honest disclosure)</w:t>
      </w:r>
    </w:p>
    <w:p>
      <w:r>
        <w:t xml:space="preserve">Per the compressed build plan in </w:t>
      </w:r>
      <w:r>
        <w:rPr>
          <w:rFonts w:ascii="Consolas" w:hAnsi="Consolas"/>
          <w:sz w:val="20"/>
        </w:rPr>
        <w:t>docs/problem1-build-plan.md</w:t>
      </w:r>
      <w:r>
        <w:t>, the original scope included: (a) measured gas-cost comparison between Ethereum Sepolia and Base Sepolia across single, batched-100, and Merkle-root scenarios (M6); (b) deployment on Ethereum Sepolia for direct L1-vs-L2 comparison (M5b); and (c) a side-by-side OpenTimestamps anchor of the same records as stretch evidence for §4.2's "close-call-on-property-</w:t>
      </w:r>
      <w:r>
        <w:rPr>
          <w:i/>
        </w:rPr>
        <w:t>P</w:t>
      </w:r>
      <w:r>
        <w:t>-alone" claim. These were deprioritised in favour of the verifier UI and the threat-model write-up, because the intellectual core of this project is the tradeoff argument, not the cost number. The cost figures cited in §3 and §4 therefore remain industry-standard ballparks (</w:t>
      </w:r>
      <w:r>
        <w:rPr>
          <w:rFonts w:ascii="Consolas" w:hAnsi="Consolas"/>
          <w:sz w:val="20"/>
        </w:rPr>
        <w:t>[S2]</w:t>
      </w:r>
      <w:r>
        <w:t xml:space="preserve">), not measurements from our own deployment </w:t>
      </w:r>
      <w:r>
        <w:rPr>
          <w:rFonts w:ascii="Consolas" w:hAnsi="Consolas"/>
          <w:sz w:val="20"/>
        </w:rPr>
        <w:t>[OWN]</w:t>
      </w:r>
      <w:r>
        <w:t>.</w:t>
      </w:r>
    </w:p>
    <w:p>
      <w:pPr>
        <w:pStyle w:val="Heading1"/>
      </w:pPr>
      <w:r>
        <w:t>5. Anchoring as a primitive for the larger protocol</w:t>
      </w:r>
    </w:p>
    <w:p>
      <w:r>
        <w:t>This section reconciles the narrowing with the original ambition. Conditional on the operator-independent threat model in §1.1, the vehicle-history protocol decomposes into five primitives:</w:t>
      </w:r>
    </w:p>
    <w:p>
      <w:pPr>
        <w:pStyle w:val="ListNumber"/>
      </w:pPr>
      <w:r>
        <w:rPr>
          <w:b/>
        </w:rPr>
        <w:t>Anchoring</w:t>
      </w:r>
      <w:r>
        <w:t xml:space="preserve"> — this project.</w:t>
      </w:r>
    </w:p>
    <w:p>
      <w:pPr>
        <w:pStyle w:val="ListNumber"/>
      </w:pPr>
      <w:r>
        <w:rPr>
          <w:b/>
        </w:rPr>
        <w:t>Attestation</w:t>
      </w:r>
      <w:r>
        <w:t xml:space="preserve"> — bind a record to a real-world identity via some</w:t>
      </w:r>
      <w:r>
        <w:t xml:space="preserve"> </w:t>
      </w:r>
      <w:r>
        <w:t>credentialing layer. Must reference an anchor so the attested claim</w:t>
      </w:r>
      <w:r>
        <w:t xml:space="preserve"> </w:t>
      </w:r>
      <w:r>
        <w:t>is pinned to an unrewritable record.</w:t>
      </w:r>
    </w:p>
    <w:p>
      <w:pPr>
        <w:pStyle w:val="ListNumber"/>
      </w:pPr>
      <w:r>
        <w:rPr>
          <w:b/>
        </w:rPr>
        <w:t>Reputation / weighting</w:t>
      </w:r>
      <w:r>
        <w:t xml:space="preserve"> — weight attestations by contributor track</w:t>
      </w:r>
      <w:r>
        <w:t xml:space="preserve"> </w:t>
      </w:r>
      <w:r>
        <w:t>record. A view over anchored attestations; no new substrate needed.</w:t>
      </w:r>
    </w:p>
    <w:p>
      <w:pPr>
        <w:pStyle w:val="ListNumber"/>
      </w:pPr>
      <w:r>
        <w:rPr>
          <w:b/>
        </w:rPr>
        <w:t>Privacy</w:t>
      </w:r>
      <w:r>
        <w:t xml:space="preserve"> — selectively disclose fields while preserving anchor</w:t>
      </w:r>
      <w:r>
        <w:t xml:space="preserve"> </w:t>
      </w:r>
      <w:r>
        <w:t>verifiability. Standard primitive family: hashed field commitments,</w:t>
      </w:r>
      <w:r>
        <w:t xml:space="preserve"> </w:t>
      </w:r>
      <w:r>
        <w:t>Merkle revelation, ZK proofs over canonicalised records.</w:t>
      </w:r>
    </w:p>
    <w:p>
      <w:pPr>
        <w:pStyle w:val="ListNumber"/>
      </w:pPr>
      <w:r>
        <w:rPr>
          <w:b/>
        </w:rPr>
        <w:t>Fraud detection</w:t>
      </w:r>
      <w:r>
        <w:t xml:space="preserve"> — cross-reference anchored records for</w:t>
      </w:r>
      <w:r>
        <w:t xml:space="preserve"> </w:t>
      </w:r>
      <w:r>
        <w:t>inconsistencies (odometer rollback, title washing, geographic</w:t>
      </w:r>
      <w:r>
        <w:t xml:space="preserve"> </w:t>
      </w:r>
      <w:r>
        <w:t>impossibility). Analytics over the anchored corpus.</w:t>
      </w:r>
    </w:p>
    <w:p>
      <w:r>
        <w:t xml:space="preserve">Every one of 2–5 </w:t>
      </w:r>
      <w:r>
        <w:rPr>
          <w:b/>
        </w:rPr>
        <w:t>requires</w:t>
      </w:r>
      <w:r>
        <w:t xml:space="preserve"> an anchor primitive of some kind under the operator-independent threat model, because each relies on a record whose content and time are not silently rewritable by the original custodian. The substrate choice (CT, OTS, EVM) affects </w:t>
      </w:r>
      <w:r>
        <w:rPr>
          <w:i/>
        </w:rPr>
        <w:t>how easy</w:t>
      </w:r>
      <w:r>
        <w:t xml:space="preserve"> primitives 2–5 are to build on top of it, not whether they are buildable. That is the honest argument for EVM: not that it wins property </w:t>
      </w:r>
      <w:r>
        <w:rPr>
          <w:i/>
        </w:rPr>
        <w:t>P</w:t>
      </w:r>
      <w:r>
        <w:t xml:space="preserve"> in isolation, but that primitives 2–5 already have composable EVM infrastructure (on-chain attestations </w:t>
      </w:r>
      <w:r>
        <w:rPr>
          <w:rFonts w:ascii="Consolas" w:hAnsi="Consolas"/>
          <w:sz w:val="20"/>
        </w:rPr>
        <w:t>[S?:eas]</w:t>
      </w:r>
      <w:r>
        <w:t xml:space="preserve">, ZK verifier contracts, access-control libraries) and building them on CT or OTS would require more glue </w:t>
      </w:r>
      <w:r>
        <w:rPr>
          <w:rFonts w:ascii="Consolas" w:hAnsi="Consolas"/>
          <w:sz w:val="20"/>
        </w:rPr>
        <w:t>[OWN]</w:t>
      </w:r>
      <w:r>
        <w:t>.</w:t>
      </w:r>
    </w:p>
    <w:p>
      <w:r>
        <w:t xml:space="preserve">So the contribution of this narrowed project, in one sentence: </w:t>
      </w:r>
      <w:r>
        <w:rPr>
          <w:b/>
        </w:rPr>
        <w:t>it builds the foundation layer the rest of the protocol would have to inherit from anyway, and names the four problems it does not solve as the subjects of separable future work.</w:t>
      </w:r>
    </w:p>
    <w:p>
      <w:pPr>
        <w:pStyle w:val="Heading1"/>
      </w:pPr>
      <w:r>
        <w:t>6. Conclusion</w:t>
      </w:r>
    </w:p>
    <w:p>
      <w:r>
        <w:t xml:space="preserve">On-chain hash anchoring of vehicle-history records meaningfully improves property </w:t>
      </w:r>
      <w:r>
        <w:rPr>
          <w:i/>
        </w:rPr>
        <w:t>P</w:t>
      </w:r>
      <w:r>
        <w:t xml:space="preserve"> — proving a record existed in a given form at a given time without depending on any single custodian — compared to a trusted centralised timestamp. It does not improve truthfulness, completeness, identity binding, or pre-dating protection; those are distinct problems with distinct solution spaces. Within the narrow question, EVM smart- contract anchoring is competitive with both certificate transparency logs and OpenTimestamps-family publication anchoring; it wins on grounds that belong to the larger protocol (composability with attestation, reputation, privacy, and fraud-detection primitives), not on property </w:t>
      </w:r>
      <w:r>
        <w:rPr>
          <w:i/>
        </w:rPr>
        <w:t>P</w:t>
      </w:r>
      <w:r>
        <w:t xml:space="preserve"> in isolation. Stating that boundary plainly — what blockchain </w:t>
      </w:r>
      <w:r>
        <w:rPr>
          <w:i/>
        </w:rPr>
        <w:t>actually</w:t>
      </w:r>
      <w:r>
        <w:t xml:space="preserve"> provides, separated from what "immutable vehicle history" marketing conflates it with — is the intellectual contribution of this project </w:t>
      </w:r>
      <w:r>
        <w:rPr>
          <w:rFonts w:ascii="Consolas" w:hAnsi="Consolas"/>
          <w:sz w:val="20"/>
        </w:rPr>
        <w:t>[OWN]</w:t>
      </w:r>
      <w:r>
        <w:t>.</w:t>
      </w:r>
    </w:p>
    <w:p>
      <w:pPr>
        <w:pStyle w:val="Heading1"/>
      </w:pPr>
      <w:r>
        <w:t>Appendix A — Code deliverables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Artifact</w:t>
            </w:r>
          </w:p>
        </w:tc>
        <w:tc>
          <w:tcPr>
            <w:tcW w:type="dxa" w:w="4320"/>
          </w:tcPr>
          <w:p>
            <w:r/>
            <w:r>
              <w:rPr>
                <w:b/>
              </w:rPr>
              <w:t>Path</w:t>
            </w:r>
          </w:p>
        </w:tc>
      </w:tr>
      <w:tr>
        <w:tc>
          <w:tcPr>
            <w:tcW w:type="dxa" w:w="4320"/>
          </w:tcPr>
          <w:p>
            <w:r/>
            <w:r>
              <w:rPr>
                <w:rFonts w:ascii="Consolas" w:hAnsi="Consolas"/>
                <w:sz w:val="20"/>
              </w:rPr>
              <w:t>RecordAnchor.sol</w:t>
            </w:r>
            <w:r>
              <w:t xml:space="preserve"> (Solidity contract)</w:t>
            </w:r>
          </w:p>
        </w:tc>
        <w:tc>
          <w:tcPr>
            <w:tcW w:type="dxa" w:w="4320"/>
          </w:tcPr>
          <w:p>
            <w:r/>
            <w:r>
              <w:rPr>
                <w:rFonts w:ascii="Consolas" w:hAnsi="Consolas"/>
                <w:sz w:val="20"/>
              </w:rPr>
              <w:t>anchor/contracts/RecordAnchor.sol</w:t>
            </w:r>
          </w:p>
        </w:tc>
      </w:tr>
      <w:tr>
        <w:tc>
          <w:tcPr>
            <w:tcW w:type="dxa" w:w="4320"/>
          </w:tcPr>
          <w:p>
            <w:r/>
            <w:r>
              <w:t>TypeScript canonicalizer</w:t>
            </w:r>
          </w:p>
        </w:tc>
        <w:tc>
          <w:tcPr>
            <w:tcW w:type="dxa" w:w="4320"/>
          </w:tcPr>
          <w:p>
            <w:r/>
            <w:r>
              <w:rPr>
                <w:rFonts w:ascii="Consolas" w:hAnsi="Consolas"/>
                <w:sz w:val="20"/>
              </w:rPr>
              <w:t>anchor/src/canonicalize.ts</w:t>
            </w:r>
          </w:p>
        </w:tc>
      </w:tr>
      <w:tr>
        <w:tc>
          <w:tcPr>
            <w:tcW w:type="dxa" w:w="4320"/>
          </w:tcPr>
          <w:p>
            <w:r/>
            <w:r>
              <w:t>Hash-parity tests (TS ↔ Solidity)</w:t>
            </w:r>
          </w:p>
        </w:tc>
        <w:tc>
          <w:tcPr>
            <w:tcW w:type="dxa" w:w="4320"/>
          </w:tcPr>
          <w:p>
            <w:r/>
            <w:r>
              <w:rPr>
                <w:rFonts w:ascii="Consolas" w:hAnsi="Consolas"/>
                <w:sz w:val="20"/>
              </w:rPr>
              <w:t>anchor/test/hash.test.ts</w:t>
            </w:r>
          </w:p>
        </w:tc>
      </w:tr>
      <w:tr>
        <w:tc>
          <w:tcPr>
            <w:tcW w:type="dxa" w:w="4320"/>
          </w:tcPr>
          <w:p>
            <w:r/>
            <w:r>
              <w:t>Contract unit tests</w:t>
            </w:r>
          </w:p>
        </w:tc>
        <w:tc>
          <w:tcPr>
            <w:tcW w:type="dxa" w:w="4320"/>
          </w:tcPr>
          <w:p>
            <w:r/>
            <w:r>
              <w:rPr>
                <w:rFonts w:ascii="Consolas" w:hAnsi="Consolas"/>
                <w:sz w:val="20"/>
              </w:rPr>
              <w:t>anchor/test/RecordAnchor.test.ts</w:t>
            </w:r>
          </w:p>
        </w:tc>
      </w:tr>
      <w:tr>
        <w:tc>
          <w:tcPr>
            <w:tcW w:type="dxa" w:w="4320"/>
          </w:tcPr>
          <w:p>
            <w:r/>
            <w:r>
              <w:t>Deployment script</w:t>
            </w:r>
          </w:p>
        </w:tc>
        <w:tc>
          <w:tcPr>
            <w:tcW w:type="dxa" w:w="4320"/>
          </w:tcPr>
          <w:p>
            <w:r/>
            <w:r>
              <w:rPr>
                <w:rFonts w:ascii="Consolas" w:hAnsi="Consolas"/>
                <w:sz w:val="20"/>
              </w:rPr>
              <w:t>anchor/scripts/deploy.ts</w:t>
            </w:r>
          </w:p>
        </w:tc>
      </w:tr>
      <w:tr>
        <w:tc>
          <w:tcPr>
            <w:tcW w:type="dxa" w:w="4320"/>
          </w:tcPr>
          <w:p>
            <w:r/>
            <w:r>
              <w:t>Single-record anchoring script</w:t>
            </w:r>
          </w:p>
        </w:tc>
        <w:tc>
          <w:tcPr>
            <w:tcW w:type="dxa" w:w="4320"/>
          </w:tcPr>
          <w:p>
            <w:r/>
            <w:r>
              <w:rPr>
                <w:rFonts w:ascii="Consolas" w:hAnsi="Consolas"/>
                <w:sz w:val="20"/>
              </w:rPr>
              <w:t>anchor/scripts/anchor-one.ts</w:t>
            </w:r>
          </w:p>
        </w:tc>
      </w:tr>
      <w:tr>
        <w:tc>
          <w:tcPr>
            <w:tcW w:type="dxa" w:w="4320"/>
          </w:tcPr>
          <w:p>
            <w:r/>
            <w:r>
              <w:t>Static verifier web page</w:t>
            </w:r>
          </w:p>
        </w:tc>
        <w:tc>
          <w:tcPr>
            <w:tcW w:type="dxa" w:w="4320"/>
          </w:tcPr>
          <w:p>
            <w:r/>
            <w:r>
              <w:rPr>
                <w:rFonts w:ascii="Consolas" w:hAnsi="Consolas"/>
                <w:sz w:val="20"/>
              </w:rPr>
              <w:t>anchor/verifier/index.html</w:t>
            </w:r>
          </w:p>
        </w:tc>
      </w:tr>
      <w:tr>
        <w:tc>
          <w:tcPr>
            <w:tcW w:type="dxa" w:w="4320"/>
          </w:tcPr>
          <w:p>
            <w:r/>
            <w:r>
              <w:t>VIN history search page</w:t>
            </w:r>
          </w:p>
        </w:tc>
        <w:tc>
          <w:tcPr>
            <w:tcW w:type="dxa" w:w="4320"/>
          </w:tcPr>
          <w:p>
            <w:r/>
            <w:r>
              <w:rPr>
                <w:rFonts w:ascii="Consolas" w:hAnsi="Consolas"/>
                <w:sz w:val="20"/>
              </w:rPr>
              <w:t>anchor/verifier/search.html</w:t>
            </w:r>
          </w:p>
        </w:tc>
      </w:tr>
      <w:tr>
        <w:tc>
          <w:tcPr>
            <w:tcW w:type="dxa" w:w="4320"/>
          </w:tcPr>
          <w:p>
            <w:r/>
            <w:r>
              <w:t>Deployment record (address, tx, block)</w:t>
            </w:r>
          </w:p>
        </w:tc>
        <w:tc>
          <w:tcPr>
            <w:tcW w:type="dxa" w:w="4320"/>
          </w:tcPr>
          <w:p>
            <w:r/>
            <w:r>
              <w:rPr>
                <w:rFonts w:ascii="Consolas" w:hAnsi="Consolas"/>
                <w:sz w:val="20"/>
              </w:rPr>
              <w:t>anchor/deployments.json</w:t>
            </w:r>
          </w:p>
        </w:tc>
      </w:tr>
      <w:tr>
        <w:tc>
          <w:tcPr>
            <w:tcW w:type="dxa" w:w="4320"/>
          </w:tcPr>
          <w:p>
            <w:r/>
            <w:r>
              <w:t>Sample record corpus</w:t>
            </w:r>
          </w:p>
        </w:tc>
        <w:tc>
          <w:tcPr>
            <w:tcW w:type="dxa" w:w="4320"/>
          </w:tcPr>
          <w:p>
            <w:r/>
            <w:r>
              <w:rPr>
                <w:rFonts w:ascii="Consolas" w:hAnsi="Consolas"/>
                <w:sz w:val="20"/>
              </w:rPr>
              <w:t>anchor/verifier/records.json</w:t>
            </w:r>
          </w:p>
        </w:tc>
      </w:tr>
    </w:tbl>
    <w:p>
      <w:r>
        <w:rPr>
          <w:b/>
        </w:rPr>
        <w:t>Deployed contract:</w:t>
      </w:r>
      <w:r>
        <w:t xml:space="preserve"> </w:t>
      </w:r>
      <w:r>
        <w:rPr>
          <w:rFonts w:ascii="Consolas" w:hAnsi="Consolas"/>
          <w:sz w:val="20"/>
        </w:rPr>
        <w:t>0x1380b4cBC2Bdb10e46F720124C8174bc363aE4bF</w:t>
      </w:r>
      <w:r>
        <w:t xml:space="preserve"> on Base Sepolia (chain id 84532). Source-verified on Basescan.</w:t>
      </w:r>
    </w:p>
    <w:p>
      <w:r>
        <w:rPr>
          <w:b/>
        </w:rPr>
        <w:t>How to run locally.</w:t>
      </w:r>
      <w:r>
        <w:t xml:space="preserve"> From </w:t>
      </w:r>
      <w:r>
        <w:rPr>
          <w:rFonts w:ascii="Consolas" w:hAnsi="Consolas"/>
          <w:sz w:val="20"/>
        </w:rPr>
        <w:t>anchor/</w:t>
      </w:r>
      <w:r>
        <w:t xml:space="preserve">: </w:t>
      </w:r>
      <w:r>
        <w:rPr>
          <w:rFonts w:ascii="Consolas" w:hAnsi="Consolas"/>
          <w:sz w:val="20"/>
        </w:rPr>
        <w:t>npm install &amp;&amp; npx hardhat test</w:t>
      </w:r>
      <w:r>
        <w:t xml:space="preserve"> runs the unit and hash-parity tests. </w:t>
      </w:r>
      <w:r>
        <w:rPr>
          <w:rFonts w:ascii="Consolas" w:hAnsi="Consolas"/>
          <w:sz w:val="20"/>
        </w:rPr>
        <w:t>npx hardhat run scripts/deploy.ts --network baseSepolia</w:t>
      </w:r>
      <w:r>
        <w:t xml:space="preserve"> redeploys. The verifier UI is a static file; open </w:t>
      </w:r>
      <w:r>
        <w:rPr>
          <w:rFonts w:ascii="Consolas" w:hAnsi="Consolas"/>
          <w:sz w:val="20"/>
        </w:rPr>
        <w:t>anchor/verifier/index.html</w:t>
      </w:r>
      <w:r>
        <w:t xml:space="preserve"> in a browser or serve the directory with any static HTTP server. The UI needs no wallet or private key — it reads the chain over a public RPC.</w:t>
      </w:r>
    </w:p>
    <w:p>
      <w:pPr>
        <w:pStyle w:val="Heading1"/>
      </w:pPr>
      <w:r>
        <w:t>Appendix B — Supporting documents in this repository</w:t>
      </w:r>
    </w:p>
    <w:p>
      <w:pPr>
        <w:pStyle w:val="ListBullet"/>
      </w:pPr>
      <w:r>
        <w:rPr>
          <w:rFonts w:ascii="Consolas" w:hAnsi="Consolas"/>
          <w:sz w:val="20"/>
        </w:rPr>
        <w:t>docs/problem1-record-anchoring.md</w:t>
      </w:r>
      <w:r>
        <w:t xml:space="preserve"> — narrowed proposal, research</w:t>
      </w:r>
    </w:p>
    <w:p>
      <w:r>
        <w:t xml:space="preserve">  question, in/out of scope, threat model, technical choices.</w:t>
      </w:r>
    </w:p>
    <w:p>
      <w:pPr>
        <w:pStyle w:val="ListBullet"/>
      </w:pPr>
      <w:r>
        <w:rPr>
          <w:rFonts w:ascii="Consolas" w:hAnsi="Consolas"/>
          <w:sz w:val="20"/>
        </w:rPr>
        <w:t>docs/problem1-solution-tradeoffs.md</w:t>
      </w:r>
      <w:r>
        <w:t xml:space="preserve"> — six-solution comparison,</w:t>
      </w:r>
    </w:p>
    <w:p>
      <w:r>
        <w:t xml:space="preserve">  matrix, three-way argument among CT / OTS / EVM, anchoring as a protocol primitive.</w:t>
      </w:r>
    </w:p>
    <w:p>
      <w:pPr>
        <w:pStyle w:val="ListBullet"/>
      </w:pPr>
      <w:r>
        <w:rPr>
          <w:rFonts w:ascii="Consolas" w:hAnsi="Consolas"/>
          <w:sz w:val="20"/>
        </w:rPr>
        <w:t>docs/problem1-build-plan.md</w:t>
      </w:r>
      <w:r>
        <w:t xml:space="preserve"> — milestones, compressed timeline, risk</w:t>
      </w:r>
    </w:p>
    <w:p>
      <w:r>
        <w:t xml:space="preserve">  register, what was built vs. deferred.</w:t>
      </w:r>
    </w:p>
    <w:p>
      <w:pPr>
        <w:pStyle w:val="ListBullet"/>
      </w:pPr>
      <w:r>
        <w:rPr>
          <w:rFonts w:ascii="Consolas" w:hAnsi="Consolas"/>
          <w:sz w:val="20"/>
        </w:rPr>
        <w:t>docs/schema-review-memo.md</w:t>
      </w:r>
      <w:r>
        <w:t xml:space="preserve"> — rationale for schema v1.0 field</w:t>
      </w:r>
    </w:p>
    <w:p>
      <w:r>
        <w:t xml:space="preserve">  choices.</w:t>
      </w:r>
    </w:p>
    <w:p>
      <w:pPr>
        <w:pStyle w:val="ListBullet"/>
      </w:pPr>
      <w:r>
        <w:rPr>
          <w:rFonts w:ascii="Consolas" w:hAnsi="Consolas"/>
          <w:sz w:val="20"/>
        </w:rPr>
        <w:t>docs/SOURCES.md</w:t>
      </w:r>
      <w:r>
        <w:t xml:space="preserve"> — attribution log and placeholder bibliography.</w:t>
      </w:r>
    </w:p>
    <w:p>
      <w:pPr>
        <w:pStyle w:val="ListBullet"/>
      </w:pPr>
      <w:r>
        <w:rPr>
          <w:rFonts w:ascii="Consolas" w:hAnsi="Consolas"/>
          <w:sz w:val="20"/>
        </w:rPr>
        <w:t>docs/video-presentation-outline.md</w:t>
      </w:r>
      <w:r>
        <w:t xml:space="preserve"> — narrative arc for the</w:t>
      </w:r>
    </w:p>
    <w:p>
      <w:r>
        <w:t xml:space="preserve">  2026-04-22 video deliverable.</w:t>
      </w:r>
    </w:p>
    <w:p>
      <w:pPr>
        <w:pStyle w:val="ListBullet"/>
      </w:pPr>
      <w:r>
        <w:rPr>
          <w:rFonts w:ascii="Consolas" w:hAnsi="Consolas"/>
          <w:sz w:val="20"/>
        </w:rPr>
        <w:t>docs/project-proposal.md</w:t>
      </w:r>
      <w:r>
        <w:t xml:space="preserve">, </w:t>
      </w:r>
      <w:r>
        <w:rPr>
          <w:rFonts w:ascii="Consolas" w:hAnsi="Consolas"/>
          <w:sz w:val="20"/>
        </w:rPr>
        <w:t>docs/project-proposal-short.md</w:t>
      </w:r>
      <w:r>
        <w:t xml:space="preserve"> —</w:t>
      </w:r>
    </w:p>
    <w:p>
      <w:r>
        <w:t xml:space="preserve">  original (pre-narrowing) proposals, preserved as historical context for the scope change.</w:t>
      </w:r>
    </w:p>
    <w:p>
      <w:pPr>
        <w:pStyle w:val="Heading1"/>
      </w:pPr>
      <w:r>
        <w:t>Appendix C — Bibliography and limitations of attribution</w:t>
      </w:r>
    </w:p>
    <w:p>
      <w:r>
        <w:rPr>
          <w:b/>
        </w:rPr>
        <w:t>Confirmed sources used in this paper.</w:t>
      </w:r>
      <w:r>
        <w:t xml:space="preserve"> Three sources are read in full and verified against the claims they back:</w:t>
      </w:r>
    </w:p>
    <w:p>
      <w:pPr>
        <w:pStyle w:val="ListBullet"/>
      </w:pPr>
      <w:r>
        <w:rPr>
          <w:b/>
        </w:rPr>
        <w:t>[S1]</w:t>
      </w:r>
      <w:r>
        <w:t xml:space="preserve"> "Carfax hit with $50 million antitrust lawsuit by 120</w:t>
      </w:r>
    </w:p>
    <w:p>
      <w:r>
        <w:t xml:space="preserve">  dealerships," </w:t>
      </w:r>
      <w:r>
        <w:rPr>
          <w:i/>
        </w:rPr>
        <w:t>Automotive News</w:t>
      </w:r>
      <w:r>
        <w:t>, 2013-04-24. Supports the ~90% Carfax market-share figure and the \$50M / 120+ dealer antitrust class-action reference in §1.</w:t>
      </w:r>
    </w:p>
    <w:p>
      <w:pPr>
        <w:pStyle w:val="ListBullet"/>
      </w:pPr>
      <w:r>
        <w:rPr>
          <w:b/>
        </w:rPr>
        <w:t>[S2]</w:t>
      </w:r>
      <w:r>
        <w:t xml:space="preserve"> "Base — Base Documentation," Base / Coinbase, docs.base.org.</w:t>
      </w:r>
    </w:p>
    <w:p>
      <w:r>
        <w:t xml:space="preserve">  Supports the characterization of Base as a Coinbase-operated OP-Stack optimistic rollup on Ethereum, cited in §3 and §4.</w:t>
      </w:r>
    </w:p>
    <w:p>
      <w:pPr>
        <w:pStyle w:val="ListBullet"/>
      </w:pPr>
      <w:r>
        <w:rPr>
          <w:b/>
        </w:rPr>
        <w:t>[S3]</w:t>
      </w:r>
      <w:r>
        <w:t xml:space="preserve"> "Hashing with Keccak256," Solidity by Example (Solidity</w:t>
      </w:r>
    </w:p>
    <w:p>
      <w:r>
        <w:t xml:space="preserve">  0.8.26), cross-referenced with the Solidity language documentation's native-built-in description. Supports the keccak256 choice in §3.1.</w:t>
      </w:r>
    </w:p>
    <w:p>
      <w:r>
        <w:rPr>
          <w:b/>
        </w:rPr>
        <w:t>Claims still carrying `[S?:...]` placeholders.</w:t>
      </w:r>
      <w:r>
        <w:t xml:space="preserve"> The remaining industry-context claims in §1–§2 and §3 (Carfax retail price, fraud cost estimate, RFC 3161/4998, NMVTIS, certificate transparency / RFC 6962, permissioned-chain reference, L2-rollup concept overview, OpenTimestamps, OpenZeppelin MerkleProof, EAS, GDPR Article 17, and Ethereum </w:t>
      </w:r>
      <w:r>
        <w:rPr>
          <w:rFonts w:ascii="Consolas" w:hAnsi="Consolas"/>
          <w:sz w:val="20"/>
        </w:rPr>
        <w:t>block.timestamp</w:t>
      </w:r>
      <w:r>
        <w:t xml:space="preserve"> proposer-discretion rules) are preserved as </w:t>
      </w:r>
      <w:r>
        <w:rPr>
          <w:rFonts w:ascii="Consolas" w:hAnsi="Consolas"/>
          <w:sz w:val="20"/>
        </w:rPr>
        <w:t>[S?]</w:t>
      </w:r>
      <w:r>
        <w:t xml:space="preserve"> rather than replaced with sources I did not read end-to-end, per the syllabus's requirement that cited sources be sources the student has actually read and understood. Reviewers should treat those numbers and references as industry-standard ballparks drawn from common public knowledge, not as verified citations.</w:t>
      </w:r>
    </w:p>
    <w:p>
      <w:r>
        <w:rPr>
          <w:b/>
        </w:rPr>
        <w:t>Attribution of analysis.</w:t>
      </w:r>
      <w:r>
        <w:t xml:space="preserve"> Claims tagged </w:t>
      </w:r>
      <w:r>
        <w:rPr>
          <w:rFonts w:ascii="Consolas" w:hAnsi="Consolas"/>
          <w:sz w:val="20"/>
        </w:rPr>
        <w:t>[OWN]</w:t>
      </w:r>
      <w:r>
        <w:t xml:space="preserve"> are my own analysis. Claims tagged </w:t>
      </w:r>
      <w:r>
        <w:rPr>
          <w:rFonts w:ascii="Consolas" w:hAnsi="Consolas"/>
          <w:sz w:val="20"/>
        </w:rPr>
        <w:t>[CC]</w:t>
      </w:r>
      <w:r>
        <w:t xml:space="preserve"> were framings proposed by Claude (Anthropic's coding assistant) during drafting sessions that I reviewed and accepted or extended. Claude was used throughout the project for drafting, literature-style summarization, and critique; every piece of output was reviewed, edited, and accepted by me before inclusion.</w:t>
      </w:r>
    </w:p>
    <w:p>
      <w:r>
        <w:rPr>
          <w:b/>
        </w:rPr>
        <w:t>Deployed contract verification.</w:t>
      </w:r>
      <w:r>
        <w:t xml:space="preserve"> The contract referenced throughout this paper, </w:t>
      </w:r>
      <w:r>
        <w:rPr>
          <w:rFonts w:ascii="Consolas" w:hAnsi="Consolas"/>
          <w:sz w:val="20"/>
        </w:rPr>
        <w:t>RecordAnchor</w:t>
      </w:r>
      <w:r>
        <w:t xml:space="preserve"> at </w:t>
      </w:r>
      <w:r>
        <w:rPr>
          <w:rFonts w:ascii="Consolas" w:hAnsi="Consolas"/>
          <w:sz w:val="20"/>
        </w:rPr>
        <w:t>0x1380b4cBC2Bdb10e46F720124C8174bc363aE4bF</w:t>
      </w:r>
      <w:r>
        <w:t xml:space="preserve"> on Base Sepolia, was confirmed live on 2026-04-24 by an </w:t>
      </w:r>
      <w:r>
        <w:rPr>
          <w:rFonts w:ascii="Consolas" w:hAnsi="Consolas"/>
          <w:sz w:val="20"/>
        </w:rPr>
        <w:t>eth_getCode</w:t>
      </w:r>
      <w:r>
        <w:t xml:space="preserve"> RPC call to </w:t>
      </w:r>
      <w:r>
        <w:rPr>
          <w:rFonts w:ascii="Consolas" w:hAnsi="Consolas"/>
          <w:sz w:val="20"/>
        </w:rPr>
        <w:t>https://sepolia.base.org</w:t>
      </w:r>
      <w:r>
        <w:t xml:space="preserve"> returning non-empty bytecode.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