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OnChainCarFacts — Anchor Design Review</w:t>
      </w:r>
    </w:p>
    <w:p>
      <w:r>
        <w:rPr>
          <w:i/>
          <w:color w:val="555555"/>
        </w:rPr>
        <w:t>Problem 1 (Record Anchoring) — for team review, 2026-04-15</w:t>
      </w:r>
    </w:p>
    <w:p>
      <w:pPr>
        <w:pStyle w:val="Heading1"/>
      </w:pPr>
      <w:r>
        <w:t>Purpose</w:t>
      </w:r>
    </w:p>
    <w:p>
      <w:r>
        <w:t>This document presents two decisions for team review: (1) the shape of the on-chain anchoring contract, and (2) where to deploy it (Ethereum L1 vs. Base L2) and how to show the cost difference as evidence in the final write-up. It is a narrow follow-up to the Problem 1 proposal (docs/problem1-record-anchoring.md) and does not revisit out-of-scope topics (attestation, reputation, privacy, fraud detection).</w:t>
      </w:r>
    </w:p>
    <w:p>
      <w:r>
        <w:t>Attribution tags used below follow the convention in docs/SOURCES.md: [S#] = cited source, [S?:tag] = source needed before final submission, [CC] = framing co-developed with Claude, [OWN] = our own analysis. All dollar figures in this document are ballpark and must be replaced with measured values (and cited gas-price / ETH-price sources) before they appear in the final report.</w:t>
      </w:r>
    </w:p>
    <w:p>
      <w:pPr>
        <w:pStyle w:val="Heading1"/>
      </w:pPr>
      <w:r>
        <w:t>1. Contract shape — three options</w:t>
      </w:r>
    </w:p>
    <w:p>
      <w:r>
        <w:t>All three options put a cryptographic commitment to a record on chain and let a later verifier prove the record existed by the anchoring block's timestamp. They differ in what is stored on chain, how gas cost scales with record volume, and how much Merkle-tree machinery lives off chain. [OWN]</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Option 1: anchor(bytes32)</w:t>
            </w:r>
          </w:p>
        </w:tc>
        <w:tc>
          <w:tcPr>
            <w:tcW w:type="dxa" w:w="2160"/>
          </w:tcPr>
          <w:p>
            <w:r>
              <w:rPr>
                <w:b/>
              </w:rPr>
              <w:t>Option 2: anchorBatch(bytes32[])</w:t>
            </w:r>
          </w:p>
        </w:tc>
        <w:tc>
          <w:tcPr>
            <w:tcW w:type="dxa" w:w="2160"/>
          </w:tcPr>
          <w:p>
            <w:r>
              <w:rPr>
                <w:b/>
              </w:rPr>
              <w:t>Option 3: anchorRoot(bytes32)</w:t>
            </w:r>
          </w:p>
        </w:tc>
      </w:tr>
      <w:tr>
        <w:tc>
          <w:tcPr>
            <w:tcW w:type="dxa" w:w="2160"/>
          </w:tcPr>
          <w:p>
            <w:r>
              <w:t>What is on chain</w:t>
            </w:r>
          </w:p>
        </w:tc>
        <w:tc>
          <w:tcPr>
            <w:tcW w:type="dxa" w:w="2160"/>
          </w:tcPr>
          <w:p>
            <w:r>
              <w:t>One hash per record; one transaction per record.</w:t>
            </w:r>
          </w:p>
        </w:tc>
        <w:tc>
          <w:tcPr>
            <w:tcW w:type="dxa" w:w="2160"/>
          </w:tcPr>
          <w:p>
            <w:r>
              <w:t>N hashes per transaction (each emitted as its own event).</w:t>
            </w:r>
          </w:p>
        </w:tc>
        <w:tc>
          <w:tcPr>
            <w:tcW w:type="dxa" w:w="2160"/>
          </w:tcPr>
          <w:p>
            <w:r>
              <w:t>One Merkle root per transaction, covering N records. Leaves live off chain.</w:t>
            </w:r>
          </w:p>
        </w:tc>
      </w:tr>
      <w:tr>
        <w:tc>
          <w:tcPr>
            <w:tcW w:type="dxa" w:w="2160"/>
          </w:tcPr>
          <w:p>
            <w:r>
              <w:t>Gas amortization</w:t>
            </w:r>
          </w:p>
        </w:tc>
        <w:tc>
          <w:tcPr>
            <w:tcW w:type="dxa" w:w="2160"/>
          </w:tcPr>
          <w:p>
            <w:r>
              <w:t>None. Every record pays the full base transaction cost.</w:t>
            </w:r>
          </w:p>
        </w:tc>
        <w:tc>
          <w:tcPr>
            <w:tcW w:type="dxa" w:w="2160"/>
          </w:tcPr>
          <w:p>
            <w:r>
              <w:t>Base transaction cost (~21k gas) is shared across N records. Per-hash storage / event cost still paid.</w:t>
            </w:r>
          </w:p>
        </w:tc>
        <w:tc>
          <w:tcPr>
            <w:tcW w:type="dxa" w:w="2160"/>
          </w:tcPr>
          <w:p>
            <w:r>
              <w:t>A single 32-byte commitment on chain regardless of N. Cheapest per record at scale. [S?:merkle-tree]</w:t>
            </w:r>
          </w:p>
        </w:tc>
      </w:tr>
      <w:tr>
        <w:tc>
          <w:tcPr>
            <w:tcW w:type="dxa" w:w="2160"/>
          </w:tcPr>
          <w:p>
            <w:r>
              <w:t>Verifier workflow</w:t>
            </w:r>
          </w:p>
        </w:tc>
        <w:tc>
          <w:tcPr>
            <w:tcW w:type="dxa" w:w="2160"/>
          </w:tcPr>
          <w:p>
            <w:r>
              <w:t>Look up hash by ID, compare to the record's recomputed hash.</w:t>
            </w:r>
          </w:p>
        </w:tc>
        <w:tc>
          <w:tcPr>
            <w:tcW w:type="dxa" w:w="2160"/>
          </w:tcPr>
          <w:p>
            <w:r>
              <w:t>Same as Option 1.</w:t>
            </w:r>
          </w:p>
        </w:tc>
        <w:tc>
          <w:tcPr>
            <w:tcW w:type="dxa" w:w="2160"/>
          </w:tcPr>
          <w:p>
            <w:r>
              <w:t>Recompute leaf hash, walk a Merkle proof (log2(N) sibling hashes) up to the stored root. [S?:merkle-tree]</w:t>
            </w:r>
          </w:p>
        </w:tc>
      </w:tr>
      <w:tr>
        <w:tc>
          <w:tcPr>
            <w:tcW w:type="dxa" w:w="2160"/>
          </w:tcPr>
          <w:p>
            <w:r>
              <w:t>Off-chain complexity</w:t>
            </w:r>
          </w:p>
        </w:tc>
        <w:tc>
          <w:tcPr>
            <w:tcW w:type="dxa" w:w="2160"/>
          </w:tcPr>
          <w:p>
            <w:r>
              <w:t>Trivial.</w:t>
            </w:r>
          </w:p>
        </w:tc>
        <w:tc>
          <w:tcPr>
            <w:tcW w:type="dxa" w:w="2160"/>
          </w:tcPr>
          <w:p>
            <w:r>
              <w:t>Trivial.</w:t>
            </w:r>
          </w:p>
        </w:tc>
        <w:tc>
          <w:tcPr>
            <w:tcW w:type="dxa" w:w="2160"/>
          </w:tcPr>
          <w:p>
            <w:r>
              <w:t>Must build and retain the Merkle tree; must be able to serve proofs at verify time.</w:t>
            </w:r>
          </w:p>
        </w:tc>
      </w:tr>
      <w:tr>
        <w:tc>
          <w:tcPr>
            <w:tcW w:type="dxa" w:w="2160"/>
          </w:tcPr>
          <w:p>
            <w:r>
              <w:t>Failure mode if off-chain data is lost</w:t>
            </w:r>
          </w:p>
        </w:tc>
        <w:tc>
          <w:tcPr>
            <w:tcW w:type="dxa" w:w="2160"/>
          </w:tcPr>
          <w:p>
            <w:r>
              <w:t>Any record you still possess can still be verified against its on-chain hash.</w:t>
            </w:r>
          </w:p>
        </w:tc>
        <w:tc>
          <w:tcPr>
            <w:tcW w:type="dxa" w:w="2160"/>
          </w:tcPr>
          <w:p>
            <w:r>
              <w:t>Same as Option 1.</w:t>
            </w:r>
          </w:p>
        </w:tc>
        <w:tc>
          <w:tcPr>
            <w:tcW w:type="dxa" w:w="2160"/>
          </w:tcPr>
          <w:p>
            <w:r>
              <w:t>Root becomes unverifiable: without the leaves you cannot produce proofs. Must be discussed in the threat model. [OWN]</w:t>
            </w:r>
          </w:p>
        </w:tc>
      </w:tr>
      <w:tr>
        <w:tc>
          <w:tcPr>
            <w:tcW w:type="dxa" w:w="2160"/>
          </w:tcPr>
          <w:p>
            <w:r>
              <w:t>Best fit</w:t>
            </w:r>
          </w:p>
        </w:tc>
        <w:tc>
          <w:tcPr>
            <w:tcW w:type="dxa" w:w="2160"/>
          </w:tcPr>
          <w:p>
            <w:r>
              <w:t>Small demos or very low record volume.</w:t>
            </w:r>
          </w:p>
        </w:tc>
        <w:tc>
          <w:tcPr>
            <w:tcW w:type="dxa" w:w="2160"/>
          </w:tcPr>
          <w:p>
            <w:r>
              <w:t>Medium volume where simple per-record lookups are still desired.</w:t>
            </w:r>
          </w:p>
        </w:tc>
        <w:tc>
          <w:tcPr>
            <w:tcW w:type="dxa" w:w="2160"/>
          </w:tcPr>
          <w:p>
            <w:r>
              <w:t>Production-scale anchoring; the academically interesting test of what batching actually buys.</w:t>
            </w:r>
          </w:p>
        </w:tc>
      </w:tr>
    </w:tbl>
    <w:p>
      <w:pPr>
        <w:pStyle w:val="Heading2"/>
      </w:pPr>
      <w:r>
        <w:t>Recommendation</w:t>
      </w:r>
    </w:p>
    <w:p>
      <w:r>
        <w:t>Build Option 1 and Option 3 side by side; skip Option 2. [OWN]</w:t>
      </w:r>
    </w:p>
    <w:p>
      <w:r>
        <w:t>Option 1 gives us the clean, easy-to-explain demo path: submit a record, see its hash land on chain, verify it later. Option 3 gives us the interesting scaling story: a single on-chain transaction commits to many records, and the verifier does the Merkle math. Option 2 sits in the middle and does not teach anything the other two do not. [OWN]</w:t>
      </w:r>
    </w:p>
    <w:p>
      <w:pPr>
        <w:pStyle w:val="Heading1"/>
      </w:pPr>
      <w:r>
        <w:t>2. Cost comparison — Ethereum L1 vs. Base L2</w:t>
      </w:r>
    </w:p>
    <w:p>
      <w:r>
        <w:t>The table below gives ballpark deployment and per-anchor costs on Ethereum mainnet vs. Base mainnet. Assumptions (all still need citation): Ethereum gas price ~15 gwei, ETH price ~$3,000, Base L2 cost ~1000–2000x cheaper per operation than Ethereum L1. Testnet costs are zero on both chains (faucet ETH). [S?:base-l2] [S?:l2-rollup-concept]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Ethereum L1 (Sepolia / mainnet)</w:t>
            </w:r>
          </w:p>
        </w:tc>
        <w:tc>
          <w:tcPr>
            <w:tcW w:type="dxa" w:w="2880"/>
          </w:tcPr>
          <w:p>
            <w:r>
              <w:rPr>
                <w:b/>
              </w:rPr>
              <w:t>Base L2 (Base Sepolia / mainnet)</w:t>
            </w:r>
          </w:p>
        </w:tc>
      </w:tr>
      <w:tr>
        <w:tc>
          <w:tcPr>
            <w:tcW w:type="dxa" w:w="2880"/>
          </w:tcPr>
          <w:p>
            <w:r>
              <w:t>Bare transaction cost (21,000 gas)</w:t>
            </w:r>
          </w:p>
        </w:tc>
        <w:tc>
          <w:tcPr>
            <w:tcW w:type="dxa" w:w="2880"/>
          </w:tcPr>
          <w:p>
            <w:r>
              <w:t>~$0.95</w:t>
            </w:r>
          </w:p>
        </w:tc>
        <w:tc>
          <w:tcPr>
            <w:tcW w:type="dxa" w:w="2880"/>
          </w:tcPr>
          <w:p>
            <w:r>
              <w:t>fractions of a cent</w:t>
            </w:r>
          </w:p>
        </w:tc>
      </w:tr>
      <w:tr>
        <w:tc>
          <w:tcPr>
            <w:tcW w:type="dxa" w:w="2880"/>
          </w:tcPr>
          <w:p>
            <w:r>
              <w:t>Single-hash anchor (Option 1; ~43,000 gas)</w:t>
            </w:r>
          </w:p>
        </w:tc>
        <w:tc>
          <w:tcPr>
            <w:tcW w:type="dxa" w:w="2880"/>
          </w:tcPr>
          <w:p>
            <w:r>
              <w:t>~$1.50 – $3.00</w:t>
            </w:r>
          </w:p>
        </w:tc>
        <w:tc>
          <w:tcPr>
            <w:tcW w:type="dxa" w:w="2880"/>
          </w:tcPr>
          <w:p>
            <w:r>
              <w:t>~$0.001 – $0.003</w:t>
            </w:r>
          </w:p>
        </w:tc>
      </w:tr>
      <w:tr>
        <w:tc>
          <w:tcPr>
            <w:tcW w:type="dxa" w:w="2880"/>
          </w:tcPr>
          <w:p>
            <w:r>
              <w:t>Batch of 100 hashes via anchorBatch (Option 2)</w:t>
            </w:r>
          </w:p>
        </w:tc>
        <w:tc>
          <w:tcPr>
            <w:tcW w:type="dxa" w:w="2880"/>
          </w:tcPr>
          <w:p>
            <w:r>
              <w:t>~$50 – $100</w:t>
            </w:r>
          </w:p>
        </w:tc>
        <w:tc>
          <w:tcPr>
            <w:tcW w:type="dxa" w:w="2880"/>
          </w:tcPr>
          <w:p>
            <w:r>
              <w:t>low cents</w:t>
            </w:r>
          </w:p>
        </w:tc>
      </w:tr>
      <w:tr>
        <w:tc>
          <w:tcPr>
            <w:tcW w:type="dxa" w:w="2880"/>
          </w:tcPr>
          <w:p>
            <w:r>
              <w:t>Batch of 100 hashes via anchorRoot (Option 3)</w:t>
            </w:r>
          </w:p>
        </w:tc>
        <w:tc>
          <w:tcPr>
            <w:tcW w:type="dxa" w:w="2880"/>
          </w:tcPr>
          <w:p>
            <w:r>
              <w:t>~$1.50 – $3.00 (only the root is stored)</w:t>
            </w:r>
          </w:p>
        </w:tc>
        <w:tc>
          <w:tcPr>
            <w:tcW w:type="dxa" w:w="2880"/>
          </w:tcPr>
          <w:p>
            <w:r>
              <w:t>~$0.001 – $0.003</w:t>
            </w:r>
          </w:p>
        </w:tc>
      </w:tr>
      <w:tr>
        <w:tc>
          <w:tcPr>
            <w:tcW w:type="dxa" w:w="2880"/>
          </w:tcPr>
          <w:p>
            <w:r>
              <w:t>Testnet cost (Sepolia / Base Sepolia)</w:t>
            </w:r>
          </w:p>
        </w:tc>
        <w:tc>
          <w:tcPr>
            <w:tcW w:type="dxa" w:w="2880"/>
          </w:tcPr>
          <w:p>
            <w:r>
              <w:t>$0 (faucet ETH)</w:t>
            </w:r>
          </w:p>
        </w:tc>
        <w:tc>
          <w:tcPr>
            <w:tcW w:type="dxa" w:w="2880"/>
          </w:tcPr>
          <w:p>
            <w:r>
              <w:t>$0 (faucet ETH)</w:t>
            </w:r>
          </w:p>
        </w:tc>
      </w:tr>
    </w:tbl>
    <w:p>
      <w:pPr>
        <w:pStyle w:val="Heading2"/>
      </w:pPr>
      <w:r>
        <w:t>Observations</w:t>
      </w:r>
    </w:p>
    <w:p>
      <w:pPr>
        <w:pStyle w:val="ListBullet"/>
      </w:pPr>
      <w:r>
        <w:t>On Ethereum L1, Option 3 (Merkle root) is the only economically viable design at any realistic record volume. Per-record anchoring or per-record batched events cost dollars each; a protocol that expects thousands of records per day cannot absorb that cost. [OWN]</w:t>
      </w:r>
    </w:p>
    <w:p>
      <w:pPr>
        <w:pStyle w:val="ListBullet"/>
      </w:pPr>
      <w:r>
        <w:t>On Base L2, Options 1 and 2 become cheap enough that the extra off-chain complexity of Option 3 is not obviously worth it for the property we are testing. The argument for L2 is therefore not just "lower gas" — it is "lower gas, which unlocks a simpler design." That second-order effect is the more interesting finding for the write-up. [OWN] [CC] (framing suggested by Claude; accepted after review.)</w:t>
      </w:r>
    </w:p>
    <w:p>
      <w:pPr>
        <w:pStyle w:val="ListBullet"/>
      </w:pPr>
      <w:r>
        <w:t>Deploying the same contract on both Ethereum Sepolia and Base Sepolia and anchoring the same sample batch on each lets us replace every ballpark figure above with measured gas, then multiply by current mainnet gas-price / ETH-price data (with citations) for the final write-up. [OWN]</w:t>
      </w:r>
    </w:p>
    <w:p>
      <w:pPr>
        <w:pStyle w:val="Heading1"/>
      </w:pPr>
      <w:r>
        <w:t>3. Decisions to ratify</w:t>
      </w:r>
    </w:p>
    <w:p>
      <w:r>
        <w:t>Proposed direction, pending team agreement. [OWN]</w:t>
      </w:r>
    </w:p>
    <w:p>
      <w:pPr>
        <w:pStyle w:val="ListNumber"/>
      </w:pPr>
      <w:r>
        <w:t>Contract shape: implement Option 1 and Option 3; skip Option 2.</w:t>
      </w:r>
    </w:p>
    <w:p>
      <w:pPr>
        <w:pStyle w:val="ListNumber"/>
      </w:pPr>
      <w:r>
        <w:t>Deployments: same contract deployed to Ethereum Sepolia and Base Sepolia, so the L1-vs-L2 cost comparison is measured on our own transactions, not estimated from secondary data.</w:t>
      </w:r>
    </w:p>
    <w:p>
      <w:pPr>
        <w:pStyle w:val="ListNumber"/>
      </w:pPr>
      <w:r>
        <w:t>Phase 0 (the existing NHTSA VIN-lookup demo) is left as-is. The anchoring work lives in a separate minimal app so the two concerns stay cleanly separated in the final submission.</w:t>
      </w:r>
    </w:p>
    <w:p>
      <w:pPr>
        <w:pStyle w:val="Heading1"/>
      </w:pPr>
      <w:r>
        <w:t>Attribution</w:t>
      </w:r>
    </w:p>
    <w:p>
      <w:r>
        <w:t>Every external or non-baseline claim in this document is tagged. Any [S?] marker is a placeholder and must be replaced with a real [S#] entry in docs/SOURCES.md before final submission. Class-covered baseline material (smart contract fundamentals, on-chain storage) is not tagged. Material beyond the class baseline — L2 rollups, specific testnets, Merkle trees, certificate-transparency-style logs — is tagged and must be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