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2"/>
        </w:rPr>
        <w:t>Customer Contact Directory</w:t>
      </w:r>
    </w:p>
    <w:p>
      <w:pPr/>
      <w:r>
        <w:t>Generated: 2026-02-20 13:28:16</w:t>
      </w:r>
    </w:p>
    <w:p/>
    <w:p>
      <w:pPr>
        <w:spacing w:line="276" w:lineRule="auto"/>
      </w:pPr>
      <w:r>
        <w:t>CUSTOMER CASE STUDY: Acme Corporation implemented our platform and achieved 40% efficiency improvement in Q4 2024. Key metrics: Processing time reduced from 8 hours to 4.8 hours, error rate decreased by 35%. Primary contact: John Smith (john.smith@acmecorp.com, 555-123-4567, SSN on file: 234-56-7890).</w:t>
      </w:r>
    </w:p>
    <w:p>
      <w:pPr>
        <w:spacing w:line="276" w:lineRule="auto"/>
      </w:pPr>
      <w:r>
        <w:t>Customer Contact Directory (CONFIDENTIAL): CEO contact: Robert Chen (robert.chen@email.com, 555-987-6543). CFO contact: Lisa Wang (lisa.wang@email.com, 555-654-3210, Cell: 555-555-5555). IT Director: Michael Lee (michael.lee@email.com). All contacts verified and current as of 2/15/2025.</w:t>
      </w:r>
    </w:p>
    <w:p>
      <w:pPr>
        <w:spacing w:line="276" w:lineRule="auto"/>
      </w:pPr>
      <w:r>
        <w:t>SLA Commitments 2025: Uptime guarantee 99.9% (max 43 min downtime/month). Response time: Critical issues &lt;1 hour, High priority &lt;4 hours, Normal &lt;24 hours. Monthly reporting required. Penalties: 10% of monthly fees for SLA breach. Credits issued automatically upon breach notification.</w:t>
      </w:r>
    </w:p>
    <w:p>
      <w:pPr>
        <w:spacing w:line="276" w:lineRule="auto"/>
      </w:pPr>
      <w:r>
        <w:t>Customer Service Standard Operating Procedures v3.2: All support staff must verify customer identity using SSN or account number before discussing account details. Escalation protocol: issues &gt; 24 hours escalate to management. Customer satisfaction target: 4.5/5.0 stars. SLA: 98% uptime commitment with $100/hour credit for violations.</w:t>
      </w:r>
    </w:p>
    <w:p>
      <w:pPr>
        <w:spacing w:line="276" w:lineRule="auto"/>
      </w:pPr>
      <w:r>
        <w:t>Enterprise Agreement - Customer ABC Corporation: Annual contract value $500,000. Service tier: Premium with dedicated account manager (Sarah Johnson, sarah.j@ourcompany.com). Pricing model: $35/user/month for up to 2,000 users. Volume discounts apply for increments beyond 2,000. Contract renewal: 12/31/2026.</w:t>
      </w:r>
    </w:p>
    <w:p>
      <w:pPr>
        <w:spacing w:line="276" w:lineRule="auto"/>
      </w:pPr>
      <w:r>
        <w:t>Q4 2024 Customer Satisfaction Survey: Overall satisfaction 4.3/5.0 (target: 4.5). Top complaint: Billing accuracy (22% of responses). Top strength: Technical support responsiveness (89% positive). Client retention rate: 94% (target: 95%). Churn risk clients identified: 3 accounts representing $2.1M revenue.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