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32"/>
        </w:rPr>
        <w:t>Tax Planning Strategy</w:t>
      </w:r>
    </w:p>
    <w:p>
      <w:pPr/>
      <w:r>
        <w:t>Generated: 2026-02-20 13:28:16</w:t>
      </w:r>
    </w:p>
    <w:p/>
    <w:p>
      <w:pPr>
        <w:spacing w:line="276" w:lineRule="auto"/>
      </w:pPr>
      <w:r>
        <w:t>Investment allocation review: Our corporate portfolio is currently positioned at 60% equities, 30% fixed income, 10% cash equivalents. We recommend shifting $500K to emerging markets funds based on market trends. Crypto holdings (currently $250K in Bitcoin): Review for Q2 rebalancing.</w:t>
      </w:r>
    </w:p>
    <w:p>
      <w:pPr>
        <w:spacing w:line="276" w:lineRule="auto"/>
      </w:pPr>
      <w:r>
        <w:t>Tax planning for 2025: Estimated tax liability $890,000. Strategy includes maximizing R&amp;D tax credits (~$150K), deferring equipment purchases, and repositioning subsidiary structure. Consult with external tax advisor (Ernst &amp; Young account manager: Sarah Johnson, ext. 5432).</w:t>
      </w:r>
    </w:p>
    <w:p>
      <w:pPr>
        <w:spacing w:line="276" w:lineRule="auto"/>
      </w:pPr>
      <w:r>
        <w:t>Q1 Financial Summary: Total Revenue $12.8M, Operating Expenses $9.2M, Net Income $3.6M. Key accounts: JP Morgan Chase (Account #1987654321), Bank of America (Account #2876543210). Wire transfers approved for vendor payments totaling $450,000.</w:t>
      </w:r>
    </w:p>
    <w:p>
      <w:pPr>
        <w:spacing w:line="276" w:lineRule="auto"/>
      </w:pPr>
      <w:r>
        <w:t>Accounts payable aging report: Over 90 days: $234,000 (Top vendors: Microsoft - $45K, AWS - $38K, Salesforce - $32K). 60-90 days: $567,000. 30-60 days: $892,000. Collections from receivables: $1.2M anticipated this quarter.</w:t>
      </w:r>
    </w:p>
    <w:p>
      <w:pPr>
        <w:spacing w:line="276" w:lineRule="auto"/>
      </w:pPr>
      <w:r>
        <w:t>Monthly bank reconciliation for February 2025: Beginning balance $487,250.00. Deposits: $2,345,678.90. Withdrawals: $2,100,450.50. Ending balance: $732,478.40. All transactions verified against statements from our three corporate accounts.</w:t>
      </w:r>
    </w:p>
    <w:p>
      <w:pPr>
        <w:spacing w:line="276" w:lineRule="auto"/>
      </w:pPr>
      <w:r>
        <w:t>Annual budget variance analysis shows Marketing exceeded budget by $125,000 (14%), while IT came in 8% under budget. Recommended adjustments for next fiscal year will redistribute $200,000 from operations to product development based on strategic priorities.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