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Competitive Intelligence Report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Executive Summary</w:t>
      </w:r>
    </w:p>
    <w:p>
      <w:pPr>
        <w:spacing w:line="276" w:lineRule="auto" w:after="120"/>
      </w:pPr>
      <w:r>
        <w:t>STRATEGIC RECOMMENDATION: Implement comprehensive digital transformation across all client-facing operations.</w:t>
      </w:r>
    </w:p>
    <w:p>
      <w:pPr>
        <w:spacing w:line="276" w:lineRule="auto" w:after="120"/>
      </w:pPr>
      <w:r>
        <w:t>Timeline: 18-24 months | Investment: $8.2M | Expected ROI: 340%</w:t>
      </w:r>
    </w:p>
    <w:p/>
    <w:p>
      <w:pPr>
        <w:spacing w:line="276" w:lineRule="auto" w:after="120"/>
      </w:pPr>
      <w:r>
        <w:t>KEY FINDINGS:</w:t>
      </w:r>
    </w:p>
    <w:p>
      <w:pPr>
        <w:spacing w:line="276" w:lineRule="auto" w:after="120"/>
      </w:pPr>
      <w:r>
        <w:t>• Current state: Legacy systems limit growth by 23% annually</w:t>
      </w:r>
    </w:p>
    <w:p>
      <w:pPr>
        <w:spacing w:line="276" w:lineRule="auto" w:after="120"/>
      </w:pPr>
      <w:r>
        <w:t>• Gap analysis reveals compliance exposure of $2.1M in regulatory fines</w:t>
      </w:r>
    </w:p>
    <w:p>
      <w:pPr>
        <w:spacing w:line="276" w:lineRule="auto" w:after="120"/>
      </w:pPr>
      <w:r>
        <w:t>• Competitor benchmarking shows 47% efficiency gap</w:t>
      </w:r>
    </w:p>
    <w:p/>
    <w:p>
      <w:pPr>
        <w:spacing w:line="276" w:lineRule="auto" w:after="120"/>
      </w:pPr>
      <w:r>
        <w:t>IMPLEMENTATION ROADMAP:</w:t>
      </w:r>
    </w:p>
    <w:p>
      <w:pPr>
        <w:spacing w:line="276" w:lineRule="auto" w:after="120"/>
      </w:pPr>
      <w:r>
        <w:t>Phase 1 (M1-M3): Infrastructure modernization, stakeholder alignment</w:t>
      </w:r>
    </w:p>
    <w:p>
      <w:pPr>
        <w:spacing w:line="276" w:lineRule="auto" w:after="120"/>
      </w:pPr>
      <w:r>
        <w:t>Phase 2 (M4-M12): Core system migration, process redesign</w:t>
      </w:r>
    </w:p>
    <w:p>
      <w:pPr>
        <w:spacing w:line="276" w:lineRule="auto" w:after="120"/>
      </w:pPr>
      <w:r>
        <w:t>Phase 3 (M13-M18): Optimization, training, knowledge transfer</w:t>
      </w:r>
    </w:p>
    <w:p>
      <w:pPr>
        <w:spacing w:line="276" w:lineRule="auto" w:after="120"/>
      </w:pPr>
      <w:r>
        <w:t>Phase 4 (M19-M24): Continuous improvement, scaling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- Revenue uplift: $12.3M over 3 years</w:t>
      </w:r>
    </w:p>
    <w:p>
      <w:pPr>
        <w:spacing w:line="276" w:lineRule="auto" w:after="120"/>
      </w:pPr>
      <w:r>
        <w:t>- Cost reduction: $4.1M annually</w:t>
      </w:r>
    </w:p>
    <w:p>
      <w:pPr>
        <w:spacing w:line="276" w:lineRule="auto" w:after="120"/>
      </w:pPr>
      <w:r>
        <w:t>- Risk mitigation: Eliminates $2.1M compliance exposure</w:t>
      </w:r>
    </w:p>
    <w:p>
      <w:pPr>
        <w:pStyle w:val="Heading2"/>
      </w:pPr>
      <w:r>
        <w:rPr>
          <w:color w:val="0050A0"/>
          <w:sz w:val="26"/>
        </w:rPr>
        <w:t>Detailed Findings</w:t>
      </w:r>
    </w:p>
    <w:p>
      <w:pPr>
        <w:spacing w:line="276" w:lineRule="auto" w:after="120"/>
      </w:pPr>
      <w:r>
        <w:t>CLIENT PROFILE:</w:t>
      </w:r>
    </w:p>
    <w:p>
      <w:pPr>
        <w:spacing w:line="276" w:lineRule="auto" w:after="120"/>
      </w:pPr>
      <w:r>
        <w:t>Organization: [Client Name] - Fortune 500 Financial Services</w:t>
      </w:r>
    </w:p>
    <w:p>
      <w:pPr>
        <w:spacing w:line="276" w:lineRule="auto" w:after="120"/>
      </w:pPr>
      <w:r>
        <w:t>Revenue: $12.3B | Employees: 18,500 | Geographic Presence: 42 countries</w:t>
      </w:r>
    </w:p>
    <w:p>
      <w:pPr>
        <w:spacing w:line="276" w:lineRule="auto" w:after="120"/>
      </w:pPr>
      <w:r>
        <w:t>Current Systems: Mainframe (23 years old) + 127 shadow applications</w:t>
      </w:r>
    </w:p>
    <w:p>
      <w:pPr>
        <w:spacing w:line="276" w:lineRule="auto" w:after="120"/>
      </w:pPr>
      <w:r>
        <w:t>IT Staff: 342 FTE | Current IT Budget: $280M annually</w:t>
      </w:r>
    </w:p>
    <w:p/>
    <w:p>
      <w:pPr>
        <w:spacing w:line="276" w:lineRule="auto" w:after="120"/>
      </w:pPr>
      <w:r>
        <w:t>PROCESS ANALYSIS:</w:t>
      </w:r>
    </w:p>
    <w:p>
      <w:pPr>
        <w:spacing w:line="276" w:lineRule="auto" w:after="120"/>
      </w:pPr>
      <w:r>
        <w:t>Cross-functional interviews: 147 stakeholders</w:t>
      </w:r>
    </w:p>
    <w:p>
      <w:pPr>
        <w:spacing w:line="276" w:lineRule="auto" w:after="120"/>
      </w:pPr>
      <w:r>
        <w:t>Process mapping: 89 critical business processes documented</w:t>
      </w:r>
    </w:p>
    <w:p>
      <w:pPr>
        <w:spacing w:line="276" w:lineRule="auto" w:after="120"/>
      </w:pPr>
      <w:r>
        <w:t>System audit: 23 applications in scope for consolidation</w:t>
      </w:r>
    </w:p>
    <w:p>
      <w:pPr>
        <w:spacing w:line="276" w:lineRule="auto" w:after="120"/>
      </w:pPr>
      <w:r>
        <w:t>Current state pain points identified and scored</w:t>
      </w:r>
    </w:p>
    <w:p/>
    <w:p>
      <w:pPr>
        <w:spacing w:line="276" w:lineRule="auto" w:after="120"/>
      </w:pPr>
      <w:r>
        <w:t>COMPETITIVE LANDSCAPE:</w:t>
      </w:r>
    </w:p>
    <w:p>
      <w:pPr>
        <w:spacing w:line="276" w:lineRule="auto" w:after="120"/>
      </w:pPr>
      <w:r>
        <w:t>Direct competitors average transformation ROI: 280%</w:t>
      </w:r>
    </w:p>
    <w:p>
      <w:pPr>
        <w:spacing w:line="276" w:lineRule="auto" w:after="120"/>
      </w:pPr>
      <w:r>
        <w:t>Client is 2-3 years behind industry digital maturity</w:t>
      </w:r>
    </w:p>
    <w:p>
      <w:pPr>
        <w:spacing w:line="276" w:lineRule="auto" w:after="120"/>
      </w:pPr>
      <w:r>
        <w:t>Talent market: 34% difficulty recruiting cloud architects</w:t>
      </w:r>
    </w:p>
    <w:p>
      <w:pPr>
        <w:pStyle w:val="Heading2"/>
      </w:pPr>
      <w:r>
        <w:rPr>
          <w:color w:val="0050A0"/>
          <w:sz w:val="26"/>
        </w:rPr>
        <w:t>Technical Architecture</w:t>
      </w:r>
    </w:p>
    <w:p>
      <w:pPr>
        <w:spacing w:line="276" w:lineRule="auto" w:after="120"/>
      </w:pPr>
      <w:r>
        <w:t>PROPOSED SOLUTION:</w:t>
      </w:r>
    </w:p>
    <w:p>
      <w:pPr>
        <w:spacing w:line="276" w:lineRule="auto" w:after="120"/>
      </w:pPr>
      <w:r>
        <w:t>Foundation: Cloud-native architecture (AWS/Azure hybrid)</w:t>
      </w:r>
    </w:p>
    <w:p>
      <w:pPr>
        <w:spacing w:line="276" w:lineRule="auto" w:after="120"/>
      </w:pPr>
      <w:r>
        <w:t>Integration Layer: API management platform</w:t>
      </w:r>
    </w:p>
    <w:p>
      <w:pPr>
        <w:spacing w:line="276" w:lineRule="auto" w:after="120"/>
      </w:pPr>
      <w:r>
        <w:t>Data Layer: Data warehouse + modern analytics</w:t>
      </w:r>
    </w:p>
    <w:p>
      <w:pPr>
        <w:spacing w:line="276" w:lineRule="auto" w:after="120"/>
      </w:pPr>
      <w:r>
        <w:t>Security: Zero-trust architecture, encryption at-rest &amp; in-transit</w:t>
      </w:r>
    </w:p>
    <w:p/>
    <w:p>
      <w:pPr>
        <w:spacing w:line="276" w:lineRule="auto" w:after="120"/>
      </w:pPr>
      <w:r>
        <w:t>TECHNOLOGY STACK:</w:t>
      </w:r>
    </w:p>
    <w:p>
      <w:pPr>
        <w:spacing w:line="276" w:lineRule="auto" w:after="120"/>
      </w:pPr>
      <w:r>
        <w:t>Frontend: React 18.2, TypeScript</w:t>
      </w:r>
    </w:p>
    <w:p>
      <w:pPr>
        <w:spacing w:line="276" w:lineRule="auto" w:after="120"/>
      </w:pPr>
      <w:r>
        <w:t>Backend: Microservices (Docker/Kubernetes)</w:t>
      </w:r>
    </w:p>
    <w:p>
      <w:pPr>
        <w:spacing w:line="276" w:lineRule="auto" w:after="120"/>
      </w:pPr>
      <w:r>
        <w:t>Databases: PostgreSQL primary, DynamoDB for analytics</w:t>
      </w:r>
    </w:p>
    <w:p>
      <w:pPr>
        <w:spacing w:line="276" w:lineRule="auto" w:after="120"/>
      </w:pPr>
      <w:r>
        <w:t>Security: HashiCorp Vault, WAF, EDR solutions</w:t>
      </w:r>
    </w:p>
    <w:p/>
    <w:p>
      <w:pPr>
        <w:spacing w:line="276" w:lineRule="auto" w:after="120"/>
      </w:pPr>
      <w:r>
        <w:t>MIGRATION APPROACH:</w:t>
      </w:r>
    </w:p>
    <w:p>
      <w:pPr>
        <w:spacing w:line="276" w:lineRule="auto" w:after="120"/>
      </w:pPr>
      <w:r>
        <w:t>- Strangler pattern for legacy application retirement</w:t>
      </w:r>
    </w:p>
    <w:p>
      <w:pPr>
        <w:spacing w:line="276" w:lineRule="auto" w:after="120"/>
      </w:pPr>
      <w:r>
        <w:t>- Six 3-month waves for system migration</w:t>
      </w:r>
    </w:p>
    <w:p>
      <w:pPr>
        <w:spacing w:line="276" w:lineRule="auto" w:after="120"/>
      </w:pPr>
      <w:r>
        <w:t>- Blue-green deployment for zero-downtime updates</w:t>
      </w:r>
    </w:p>
    <w:p>
      <w:pPr>
        <w:spacing w:line="276" w:lineRule="auto" w:after="120"/>
      </w:pPr>
      <w:r>
        <w:t>- Comprehensive rollback procedures at each phase</w:t>
      </w:r>
    </w:p>
    <w:p>
      <w:pPr>
        <w:pStyle w:val="Heading2"/>
      </w:pPr>
      <w:r>
        <w:rPr>
          <w:color w:val="0050A0"/>
          <w:sz w:val="26"/>
        </w:rPr>
        <w:t>Risk Assessment</w:t>
      </w:r>
    </w:p>
    <w:p>
      <w:pPr>
        <w:spacing w:line="276" w:lineRule="auto" w:after="120"/>
      </w:pPr>
      <w:r>
        <w:t>HIGH PRIORITY RISKS:</w:t>
      </w:r>
    </w:p>
    <w:p>
      <w:pPr>
        <w:spacing w:line="276" w:lineRule="auto" w:after="120"/>
      </w:pPr>
      <w:r>
        <w:t>1. Executive Sponsorship Erosion (Probability: 23%, Impact: Critical)</w:t>
      </w:r>
    </w:p>
    <w:p>
      <w:pPr>
        <w:spacing w:line="276" w:lineRule="auto" w:after="120"/>
      </w:pPr>
      <w:r>
        <w:t>Mitigation: Monthly steering committee, clear KPIs</w:t>
      </w:r>
    </w:p>
    <w:p/>
    <w:p>
      <w:pPr>
        <w:spacing w:line="276" w:lineRule="auto" w:after="120"/>
      </w:pPr>
      <w:r>
        <w:t>2. Talent Retention During Transformation (Probability: 35%, Impact: High)</w:t>
      </w:r>
    </w:p>
    <w:p>
      <w:pPr>
        <w:spacing w:line="276" w:lineRule="auto" w:after="120"/>
      </w:pPr>
      <w:r>
        <w:t>Mitigation: Upskilling program, competitive retention packages</w:t>
      </w:r>
    </w:p>
    <w:p/>
    <w:p>
      <w:pPr>
        <w:spacing w:line="276" w:lineRule="auto" w:after="120"/>
      </w:pPr>
      <w:r>
        <w:t>3. Legacy System Integration Complexity (Probability: 28%, Impact: High)</w:t>
      </w:r>
    </w:p>
    <w:p>
      <w:pPr>
        <w:spacing w:line="276" w:lineRule="auto" w:after="120"/>
      </w:pPr>
      <w:r>
        <w:t>Mitigation: Proof of concept phase, vendor lock-in review</w:t>
      </w:r>
    </w:p>
    <w:p/>
    <w:p>
      <w:pPr>
        <w:spacing w:line="276" w:lineRule="auto" w:after="120"/>
      </w:pPr>
      <w:r>
        <w:t>4. Budget Overrun (Probability: 19%, Impact: Medium)</w:t>
      </w:r>
    </w:p>
    <w:p>
      <w:pPr>
        <w:spacing w:line="276" w:lineRule="auto" w:after="120"/>
      </w:pPr>
      <w:r>
        <w:t>Mitigation: Fixed-price components, contingency reserve</w:t>
      </w:r>
    </w:p>
    <w:p/>
    <w:p>
      <w:pPr>
        <w:spacing w:line="276" w:lineRule="auto" w:after="120"/>
      </w:pPr>
      <w:r>
        <w:t>COMPLIANCE &amp; REGULATORY:</w:t>
      </w:r>
    </w:p>
    <w:p>
      <w:pPr>
        <w:spacing w:line="276" w:lineRule="auto" w:after="120"/>
      </w:pPr>
      <w:r>
        <w:t>- SOX compliance maintained throughout migration</w:t>
      </w:r>
    </w:p>
    <w:p>
      <w:pPr>
        <w:spacing w:line="276" w:lineRule="auto" w:after="120"/>
      </w:pPr>
      <w:r>
        <w:t>- PCI-DSS requirements integrated into architecture</w:t>
      </w:r>
    </w:p>
    <w:p>
      <w:pPr>
        <w:spacing w:line="276" w:lineRule="auto" w:after="120"/>
      </w:pPr>
      <w:r>
        <w:t>- GDPR data handling procedures documented</w:t>
      </w:r>
    </w:p>
    <w:p>
      <w:pPr>
        <w:spacing w:line="276" w:lineRule="auto" w:after="120"/>
      </w:pPr>
      <w:r>
        <w:t>- Business continuity testing quarterly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