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6"/>
        </w:rPr>
        <w:t>Project Financial Analysis Q1 2026</w:t>
      </w:r>
    </w:p>
    <w:p>
      <w:pPr>
        <w:jc w:val="center"/>
      </w:pPr>
      <w:r>
        <w:rPr>
          <w:i/>
          <w:sz w:val="20"/>
        </w:rPr>
        <w:t>Generated: February 20, 2026</w:t>
      </w:r>
    </w:p>
    <w:p/>
    <w:p>
      <w:pPr>
        <w:pStyle w:val="Heading2"/>
      </w:pPr>
      <w:r>
        <w:rPr>
          <w:color w:val="0050A0"/>
          <w:sz w:val="26"/>
        </w:rPr>
        <w:t>Revenue Summary</w:t>
      </w:r>
    </w:p>
    <w:p>
      <w:pPr>
        <w:spacing w:line="276" w:lineRule="auto" w:after="120"/>
      </w:pPr>
      <w:r>
        <w:t>CURRENT ENGAGEMENT FINANCIALS (Q1 2026):</w:t>
      </w:r>
    </w:p>
    <w:p>
      <w:pPr>
        <w:spacing w:line="276" w:lineRule="auto" w:after="120"/>
      </w:pPr>
      <w:r>
        <w:t>Total Project Value: $18.5M</w:t>
      </w:r>
    </w:p>
    <w:p>
      <w:pPr>
        <w:spacing w:line="276" w:lineRule="auto" w:after="120"/>
      </w:pPr>
      <w:r>
        <w:t>Billings to Date: $4.2M (22% of engagement)</w:t>
      </w:r>
    </w:p>
    <w:p>
      <w:pPr>
        <w:spacing w:line="276" w:lineRule="auto" w:after="120"/>
      </w:pPr>
      <w:r>
        <w:t>Accounts Receivable: $2.8M (28 days outstanding average)</w:t>
      </w:r>
    </w:p>
    <w:p/>
    <w:p>
      <w:pPr>
        <w:spacing w:line="276" w:lineRule="auto" w:after="120"/>
      </w:pPr>
      <w:r>
        <w:t>KEY ENGAGEMENTS:</w:t>
      </w:r>
    </w:p>
    <w:p>
      <w:pPr>
        <w:spacing w:line="276" w:lineRule="auto" w:after="120"/>
      </w:pPr>
      <w:r>
        <w:t>- Digital Transformation (Acme Corp): $8.2M revenue, 67% billed, 89% margin</w:t>
      </w:r>
    </w:p>
    <w:p>
      <w:pPr>
        <w:spacing w:line="276" w:lineRule="auto" w:after="120"/>
      </w:pPr>
      <w:r>
        <w:t>- Supply Chain Optimization (BigRetail Inc): $4.1M revenue, 45% billed, 72% margin</w:t>
      </w:r>
    </w:p>
    <w:p>
      <w:pPr>
        <w:spacing w:line="276" w:lineRule="auto" w:after="120"/>
      </w:pPr>
      <w:r>
        <w:t>- Operational Excellence (Manufacturing Plus): $3.5M revenue, 28% billed, 78% margin</w:t>
      </w:r>
    </w:p>
    <w:p>
      <w:pPr>
        <w:spacing w:line="276" w:lineRule="auto" w:after="120"/>
      </w:pPr>
      <w:r>
        <w:t>- Restructuring Advisory (Financial Services): $2.7M revenue, 12% billed, 85% margin</w:t>
      </w:r>
    </w:p>
    <w:p/>
    <w:p>
      <w:pPr>
        <w:spacing w:line="276" w:lineRule="auto" w:after="120"/>
      </w:pPr>
      <w:r>
        <w:t>BILLING RATES BY SENIORITY:</w:t>
      </w:r>
    </w:p>
    <w:p>
      <w:pPr>
        <w:spacing w:line="276" w:lineRule="auto" w:after="120"/>
      </w:pPr>
      <w:r>
        <w:t>Partner: $850/hour | Senior Manager: $425/hour | Manager: $285/hour |</w:t>
      </w:r>
    </w:p>
    <w:p>
      <w:pPr>
        <w:spacing w:line="276" w:lineRule="auto" w:after="120"/>
      </w:pPr>
      <w:r>
        <w:t>Consultant: $175/hour | Junior Analyst: $95/hour</w:t>
      </w:r>
    </w:p>
    <w:p>
      <w:pPr>
        <w:pStyle w:val="Heading2"/>
      </w:pPr>
      <w:r>
        <w:rPr>
          <w:color w:val="0050A0"/>
          <w:sz w:val="26"/>
        </w:rPr>
        <w:t>Resource Utilization</w:t>
      </w:r>
    </w:p>
    <w:p>
      <w:pPr>
        <w:spacing w:line="276" w:lineRule="auto" w:after="120"/>
      </w:pPr>
      <w:r>
        <w:t>STAFFING ALLOCATION:</w:t>
      </w:r>
    </w:p>
    <w:p>
      <w:pPr>
        <w:spacing w:line="276" w:lineRule="auto" w:after="120"/>
      </w:pPr>
      <w:r>
        <w:t>Total Billable Staff: 234 consultants</w:t>
      </w:r>
    </w:p>
    <w:p>
      <w:pPr>
        <w:spacing w:line="276" w:lineRule="auto" w:after="120"/>
      </w:pPr>
      <w:r>
        <w:t>Utilization Rate: 78.3% (target: 80%)</w:t>
      </w:r>
    </w:p>
    <w:p>
      <w:pPr>
        <w:spacing w:line="276" w:lineRule="auto" w:after="120"/>
      </w:pPr>
      <w:r>
        <w:t>Billable Hours (Q1): 127,340 hours</w:t>
      </w:r>
    </w:p>
    <w:p>
      <w:pPr>
        <w:spacing w:line="276" w:lineRule="auto" w:after="120"/>
      </w:pPr>
      <w:r>
        <w:t>Non-billable Activities: Training (8%), Admin (5%), Bench (9%)</w:t>
      </w:r>
    </w:p>
    <w:p/>
    <w:p>
      <w:pPr>
        <w:spacing w:line="276" w:lineRule="auto" w:after="120"/>
      </w:pPr>
      <w:r>
        <w:t>HEADCOUNT BY LEVEL:</w:t>
      </w:r>
    </w:p>
    <w:p>
      <w:pPr>
        <w:spacing w:line="276" w:lineRule="auto" w:after="120"/>
      </w:pPr>
      <w:r>
        <w:t>Partners: 12 (avg 58% utilization on multiple engagements)</w:t>
      </w:r>
    </w:p>
    <w:p>
      <w:pPr>
        <w:spacing w:line="276" w:lineRule="auto" w:after="120"/>
      </w:pPr>
      <w:r>
        <w:t>Senior Managers: 34 (avg 82% utilization)</w:t>
      </w:r>
    </w:p>
    <w:p>
      <w:pPr>
        <w:spacing w:line="276" w:lineRule="auto" w:after="120"/>
      </w:pPr>
      <w:r>
        <w:t>Managers: 67 (avg 79% utilization)</w:t>
      </w:r>
    </w:p>
    <w:p>
      <w:pPr>
        <w:spacing w:line="276" w:lineRule="auto" w:after="120"/>
      </w:pPr>
      <w:r>
        <w:t>Consultants: 89 (avg 76% utilization)</w:t>
      </w:r>
    </w:p>
    <w:p>
      <w:pPr>
        <w:spacing w:line="276" w:lineRule="auto" w:after="120"/>
      </w:pPr>
      <w:r>
        <w:t>Junior Analysts: 32 (avg 68% utilization - development year)</w:t>
      </w:r>
    </w:p>
    <w:p/>
    <w:p>
      <w:pPr>
        <w:spacing w:line="276" w:lineRule="auto" w:after="120"/>
      </w:pPr>
      <w:r>
        <w:t>COST BASIS:</w:t>
      </w:r>
    </w:p>
    <w:p>
      <w:pPr>
        <w:spacing w:line="276" w:lineRule="auto" w:after="120"/>
      </w:pPr>
      <w:r>
        <w:t>Partner Average Cost: $285K/year | Billed @ $850/hr</w:t>
      </w:r>
    </w:p>
    <w:p>
      <w:pPr>
        <w:spacing w:line="276" w:lineRule="auto" w:after="120"/>
      </w:pPr>
      <w:r>
        <w:t>Senior Manager Average Cost: $165K/year | Billed @ $425/hr</w:t>
      </w:r>
    </w:p>
    <w:p>
      <w:pPr>
        <w:spacing w:line="276" w:lineRule="auto" w:after="120"/>
      </w:pPr>
      <w:r>
        <w:t>Manager Average Cost: $98K/year | Billed @ $285/hr</w:t>
      </w:r>
    </w:p>
    <w:p>
      <w:pPr>
        <w:spacing w:line="276" w:lineRule="auto" w:after="120"/>
      </w:pPr>
      <w:r>
        <w:t>Consultant Average Cost: $65K/year | Billed @ $175/hr</w:t>
      </w:r>
    </w:p>
    <w:p>
      <w:pPr>
        <w:pStyle w:val="Heading2"/>
      </w:pPr>
      <w:r>
        <w:rPr>
          <w:color w:val="0050A0"/>
          <w:sz w:val="26"/>
        </w:rPr>
        <w:t>Project Margins</w:t>
      </w:r>
    </w:p>
    <w:p>
      <w:pPr>
        <w:spacing w:line="276" w:lineRule="auto" w:after="120"/>
      </w:pPr>
      <w:r>
        <w:t>PROJECT PROFITABILITY ANALYSIS:</w:t>
      </w:r>
    </w:p>
    <w:p>
      <w:pPr>
        <w:spacing w:line="276" w:lineRule="auto" w:after="120"/>
      </w:pPr>
      <w:r>
        <w:t>Project A (Digital Transform): Margin: 89% | Staffing efficiency: 94%</w:t>
      </w:r>
    </w:p>
    <w:p>
      <w:pPr>
        <w:spacing w:line="276" w:lineRule="auto" w:after="120"/>
      </w:pPr>
      <w:r>
        <w:t>Project B (Supply Chain): Margin: 72% | Staffing efficiency: 71%</w:t>
      </w:r>
    </w:p>
    <w:p>
      <w:pPr>
        <w:spacing w:line="276" w:lineRule="auto" w:after="120"/>
      </w:pPr>
      <w:r>
        <w:t>Project C (Operational): Margin: 78% | Staffing efficiency: 82%</w:t>
      </w:r>
    </w:p>
    <w:p>
      <w:pPr>
        <w:spacing w:line="276" w:lineRule="auto" w:after="120"/>
      </w:pPr>
      <w:r>
        <w:t>Project D (Restructuring): Margin: 85% | Staffing efficiency: 88%</w:t>
      </w:r>
    </w:p>
    <w:p/>
    <w:p>
      <w:pPr>
        <w:spacing w:line="276" w:lineRule="auto" w:after="120"/>
      </w:pPr>
      <w:r>
        <w:t>COST ANALYSIS:</w:t>
      </w:r>
    </w:p>
    <w:p>
      <w:pPr>
        <w:spacing w:line="276" w:lineRule="auto" w:after="120"/>
      </w:pPr>
      <w:r>
        <w:t>Direct Labor: $62% of revenue</w:t>
      </w:r>
    </w:p>
    <w:p>
      <w:pPr>
        <w:spacing w:line="276" w:lineRule="auto" w:after="120"/>
      </w:pPr>
      <w:r>
        <w:t>Overhead allocation: $18% of revenue</w:t>
      </w:r>
    </w:p>
    <w:p>
      <w:pPr>
        <w:spacing w:line="276" w:lineRule="auto" w:after="120"/>
      </w:pPr>
      <w:r>
        <w:t>Subcontractor costs: $8% of revenue</w:t>
      </w:r>
    </w:p>
    <w:p>
      <w:pPr>
        <w:spacing w:line="276" w:lineRule="auto" w:after="120"/>
      </w:pPr>
      <w:r>
        <w:t>Operating margin: $12% of revenue</w:t>
      </w:r>
    </w:p>
    <w:p/>
    <w:p>
      <w:pPr>
        <w:spacing w:line="276" w:lineRule="auto" w:after="120"/>
      </w:pPr>
      <w:r>
        <w:t>VARIANCE ANALYSIS:</w:t>
      </w:r>
    </w:p>
    <w:p>
      <w:pPr>
        <w:spacing w:line="276" w:lineRule="auto" w:after="120"/>
      </w:pPr>
      <w:r>
        <w:t>Q1 vs Forecast: +2.3% on revenue, -1.1% on margin</w:t>
      </w:r>
    </w:p>
    <w:p>
      <w:pPr>
        <w:spacing w:line="276" w:lineRule="auto" w:after="120"/>
      </w:pPr>
      <w:r>
        <w:t>Root causes: Unanticipated travel expenses, higher junior staff allocation</w:t>
      </w:r>
    </w:p>
    <w:p/>
    <w:p>
      <w:pPr>
        <w:jc w:val="center"/>
      </w:pPr>
      <w:r>
        <w:rPr>
          <w:i/>
          <w:color w:val="C00000"/>
          <w:sz w:val="16"/>
        </w:rPr>
        <w:t>CONFIDENTIAL -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