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Salary Adjustment Proposal</w:t>
      </w:r>
    </w:p>
    <w:p>
      <w:pPr/>
      <w:r>
        <w:t>Generated: 2026-02-20 13:28:16</w:t>
      </w:r>
    </w:p>
    <w:p/>
    <w:p>
      <w:pPr>
        <w:spacing w:line="276" w:lineRule="auto"/>
      </w:pPr>
      <w:r>
        <w:t>Confidential: The executive team has approved a restructuring that will affect 12% of our workforce. We anticipate severance costs of approximately $2.3 million. See attached spreadsheet with specific employee IDs and termination dates.</w:t>
      </w:r>
    </w:p>
    <w:p>
      <w:pPr>
        <w:spacing w:line="276" w:lineRule="auto"/>
      </w:pPr>
      <w:r>
        <w:t>During the recent performance review cycle, we identified several employees for advancement opportunities. Maria Rodriguez, currently in Finance, has been selected for the Senior Analyst position. Her new compensation package includes a base salary of $105,000 plus 15% bonus potential.</w:t>
      </w:r>
    </w:p>
    <w:p>
      <w:pPr>
        <w:spacing w:line="276" w:lineRule="auto"/>
      </w:pPr>
      <w:r>
        <w:t>Employee wellness program update: As part of our benefits expansion, all employees are now eligible for mental health counseling. Enrollment can be completed using SSN verification. Current plan utilization: 34% of eligible employees.</w:t>
      </w:r>
    </w:p>
    <w:p>
      <w:pPr>
        <w:spacing w:line="276" w:lineRule="auto"/>
      </w:pPr>
      <w:r>
        <w:t>Compensation review: Market analysis shows our Director-level salaries are 12% below industry average. Recommend increasing budget pool to $450,000 for targeted market adjustments. Priority candidates identified in attached confidential list.</w:t>
      </w:r>
    </w:p>
    <w:p>
      <w:pPr>
        <w:spacing w:line="276" w:lineRule="auto"/>
      </w:pPr>
      <w:r>
        <w:t>Medical leave request from Robert Chen (Badge ID: 45821, DOB: 05/15/1985). Request period: March 1-15, 2025. Disability insurance claim will be filed under employee medical history code MH-2847.</w:t>
      </w:r>
    </w:p>
    <w:p>
      <w:pPr>
        <w:spacing w:line="276" w:lineRule="auto"/>
      </w:pPr>
      <w:r>
        <w:t>John Smith (SSN: 123-45-6789) has demonstrated excellent performance this quarter with a 4.5/5.0 rating. His core competencies include project management and team leadership. We recommend a 8% salary increase from $85,000 to $91,800 annually. Bank details for direct deposit: Account #9876543210 at First National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