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</w:rPr>
        <w:t>Insurance Policy Summary</w:t>
      </w:r>
    </w:p>
    <w:p>
      <w:pPr/>
      <w:r>
        <w:t>Generated: 2026-02-20 13:28:17</w:t>
      </w:r>
    </w:p>
    <w:p/>
    <w:p>
      <w:pPr>
        <w:spacing w:line="276" w:lineRule="auto"/>
      </w:pPr>
      <w:r>
        <w:t>Litigation Summary: Case #2025-CV-1234 (Smith v. Company): Dismissed on summary judgment 2/15/2025. Case #2025-CV-5678 (Employment dispute - confidential): Settlement discussions ongoing, estimated $300K settlement authority approved by Board. Expected resolution by Q2.</w:t>
      </w:r>
    </w:p>
    <w:p>
      <w:pPr>
        <w:spacing w:line="276" w:lineRule="auto"/>
      </w:pPr>
      <w:r>
        <w:t>Vendor Contract Review - Acme Corporation: Service Agreement effective 3/1/2025 through 2/28/2027. Payment terms: $50,000 monthly. SLA penalties: $5,000/hour downtime. Termination clause: 90-day notice. Legal review identified risk in IP indemnification clause - recommend negotiation of Article 12.</w:t>
      </w:r>
    </w:p>
    <w:p>
      <w:pPr>
        <w:spacing w:line="276" w:lineRule="auto"/>
      </w:pPr>
      <w:r>
        <w:t>SOC 2 Compliance Status: Type II audit in progress with Deloitte (expected completion 6/30/2025). Current gaps identified in access control procedures for database systems. HIPAA Assessment: Required for healthcare client contracts - audit scheduled April 2025. GDPR compliance: All customer data processing documented and privacy policy updated.</w:t>
      </w:r>
    </w:p>
    <w:p>
      <w:pPr>
        <w:spacing w:line="276" w:lineRule="auto"/>
      </w:pPr>
      <w:r>
        <w:t>CONFIDENTIAL LEGAL DOCUMENT - ATTORNEY WORK PRODUCT: This NDA governs confidential relationships with third parties. Key terms include 5-year non-disclosure period, $1M penalty clause for breach, and mandatory arbitration in Delaware. Signatory: CEO, CFO, and Board approval required before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