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Pricing Strategy Document</w:t>
      </w:r>
    </w:p>
    <w:p>
      <w:pPr/>
      <w:r>
        <w:t>Generated: 2026-02-20 13:28:17</w:t>
      </w:r>
    </w:p>
    <w:p/>
    <w:p>
      <w:pPr>
        <w:spacing w:line="276" w:lineRule="auto"/>
      </w:pPr>
      <w:r>
        <w:t>SALES PIPELINE CONFIDENTIAL: Total pipeline value: $8.5M across 23 active opportunities. Forecast confidence: 65% ($5.5M likely to close by Q2). Top deals: TechCorp Industries ($1.2M, 85% confidence), Global Services Inc ($800K, 72% confidence), Innovation Labs ($650K, 55% confidence). Sales rep commission structure: 15% for deals $500K+, 12% for $200-500K, 8% for &lt;$200K.</w:t>
      </w:r>
    </w:p>
    <w:p>
      <w:pPr>
        <w:spacing w:line="276" w:lineRule="auto"/>
      </w:pPr>
      <w:r>
        <w:t>Strategic Partner Channel Agreement - TechPartner Solutions: Reseller agreement effective 3/1/2025. Partner receives 35% margin on all sales. Minimum annual purchase commitment: $250K. Territory: North America (excluding direct sales accounts). Co-marketing fund: $50K annually. Performance bonus potential: +5% margin if &gt;$1M annual sales.</w:t>
      </w:r>
    </w:p>
    <w:p>
      <w:pPr>
        <w:spacing w:line="276" w:lineRule="auto"/>
      </w:pPr>
      <w:r>
        <w:t>Pricing Strategy Review: Market analysis indicates competitive pressure. Current pricing: $35/user/month (average). Recommendation: Implement tiered pricing ($28/month for 500+ users, $32/month for 200-499 users). Expected revenue impact: +$2.3M annually. Margin impact: +18%. Board approval required for implementation.</w:t>
      </w:r>
    </w:p>
    <w:p>
      <w:pPr>
        <w:spacing w:line="276" w:lineRule="auto"/>
      </w:pPr>
      <w:r>
        <w:t>Deal Analysis - Closed Deal: XYZ Company (Deal value: $350K, Margin: 68%, Close date: 2/20/2025). Discount offered: 12% off standard pricing to achieve Q1 target. Customer contact: CFO Michael Rodriguez (michael.rodriguez@xyzco.com, Cell: 555-777-8888). Payment terms: Net 30 with 2% early payment discount.</w:t>
      </w:r>
    </w:p>
    <w:p>
      <w:pPr>
        <w:spacing w:line="276" w:lineRule="auto"/>
      </w:pPr>
      <w:r>
        <w:t>Q1 Sales Compensation Plan: Base salary range $80K-$150K depending on territory and experience. Commission structure: 12% of first $1M annual sales, 15% of $1-2M, 18% of &gt;$2M. Top performer (2024): Sarah Johnson ($185K salary + $225K commission). New rep quotas: $1.5M annually. Performance bonuses: 20% salary for quota achievement.</w:t>
      </w:r>
    </w:p>
    <w:p>
      <w:pPr>
        <w:spacing w:line="276" w:lineRule="auto"/>
      </w:pPr>
      <w:r>
        <w:t>Proposal to TechCorp Industries: Custom implementation package for $1.2M over 18 months. Deliverables include 500 hours consulting, custom development (200 hours), and training. Competitive position: Strong against primary competitor (Competitor X quoted $1.4M). Proposal approval: VP Sales &amp; CFO sign-off required. Expected decision date: 3/31/2025.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