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32"/>
        </w:rPr>
        <w:t>Data Center Migration Project</w:t>
      </w:r>
    </w:p>
    <w:p>
      <w:pPr/>
      <w:r>
        <w:t>Generated: 2026-02-20 13:28:17</w:t>
      </w:r>
    </w:p>
    <w:p/>
    <w:p>
      <w:pPr>
        <w:spacing w:line="276" w:lineRule="auto"/>
      </w:pPr>
      <w:r>
        <w:t>SECURITY CLASSIFIED: System architecture employs multi-layer security. Production database credentials: Username "dbadmin", encrypted password stored in vault (Vault ID: prod-db-01). API keys for production: [API_KEY_PROD_001: sk-...(truncated)]. All sensitive credentials stored in AWS Secrets Manager. Access log review: 127 authentication attempts in Feb, 3 denied, 2 suspicious patterns detected.</w:t>
      </w:r>
    </w:p>
    <w:p>
      <w:pPr>
        <w:spacing w:line="276" w:lineRule="auto"/>
      </w:pPr>
      <w:r>
        <w:t>Network Infrastructure Plan 2025: Primary data center (DC-1): 2,000 Mbps connectivity, redundant ISP connections (Level3, AT&amp;T). Secondary data center (DC-2): 1,000 Mbps connectivity. Expected growth capacity planning: 30% increase in traffic year-over-year. Recommendation: Upgrade core switches by Q3 2025, migrate to SD-WAN architecture.</w:t>
      </w:r>
    </w:p>
    <w:p>
      <w:pPr>
        <w:spacing w:line="276" w:lineRule="auto"/>
      </w:pPr>
      <w:r>
        <w:t>Data Center Migration Project: Target completion date: 6/30/2025. Phase 1 (Apr): Database migration (est. 2TB data transfer). Phase 2 (May): Application server migration (est. 48-hour cutover window). Phase 3 (Jun): Decommission legacy DC-1. Estimated downtime: &lt;2 hours. Vendor: IBM Cloud (contract value: $250K). Rollback plan: Full restore from backups within 4 hours.</w:t>
      </w:r>
    </w:p>
    <w:p>
      <w:pPr>
        <w:spacing w:line="276" w:lineRule="auto"/>
      </w:pPr>
      <w:r>
        <w:t>API Documentation v2.3: Authentication: OAuth 2.0 with JWT tokens (exp: 24 hours). Base URL: https://api.ourcompany.com/v2. Rate limits: 10,000 req/hour per API key. Key endpoints documented: /users (CRUD operations), /products (GET, POST), /orders (GET, POST, PUT, DELETE). Sample API key for testing: sk-test-45678901234567890abcdef.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