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Innovation Strategy</w:t>
      </w:r>
    </w:p>
    <w:p>
      <w:pPr/>
      <w:r>
        <w:t>Generated: 2026-02-20 13:28:17</w:t>
      </w:r>
    </w:p>
    <w:p/>
    <w:p>
      <w:pPr>
        <w:spacing w:line="276" w:lineRule="auto"/>
      </w:pPr>
      <w:r>
        <w:t>Innovation Strategy 2025-2026: Investment area 1: AI/ML capabilities (budget: $500K R&amp;D). Investment area 2: Mobile-first experience (budget: $300K). Investment area 3: Platform ecosystem/integrations (budget: $250K). Partnerships: Negotiating with OpenAI for AI models, AWS for infrastructure support. Innovation time allocation: Engineering team 20% time for innovation projects.</w:t>
      </w:r>
    </w:p>
    <w:p>
      <w:pPr>
        <w:spacing w:line="276" w:lineRule="auto"/>
      </w:pPr>
      <w:r>
        <w:t>Performance Benchmarks (Latest Measurements): API throughput: 50,000 requests/second at &lt;150ms latency. Database query performance: Complex reports &lt;2 seconds for 1M+ record sets. Concurrent users: System handles 10,000 concurrent users without degradation. Infrastructure cost: $0.018 per transaction (optimization target: &lt;$0.015).</w:t>
      </w:r>
    </w:p>
    <w:p>
      <w:pPr>
        <w:spacing w:line="276" w:lineRule="auto"/>
      </w:pPr>
      <w:r>
        <w:t>PRODUCT ROADMAP - Q1-Q3 2025: Q1 Priorities (Complete by 3/31): Mobile app improvements (iOS build 2.4.1), Performance optimization (target 20% speed improvement), API v3 release. Q2 Priorities (Complete by 6/30): AI-powered analytics dashboard, Advanced reporting module, Enterprise SSO integration. Q3 Priorities (Complete by 9/30): Machine learning recommendations engine, Real-time collaboration features.</w:t>
      </w:r>
    </w:p>
    <w:p>
      <w:pPr>
        <w:spacing w:line="276" w:lineRule="auto"/>
      </w:pPr>
      <w:r>
        <w:t>Beta Testing Program Launch: Target: 200 beta customers. Rollout phases: Phase 1 (Mar): 50 early adopters. Phase 2 (Apr): 100 customers. Phase 3 (May): 50 enterprise accounts. Incentives: 50% discount on annual subscription, priority support, feature input. Feedback mechanism: Weekly surveys, monthly webinars. Success criteria: 4.2+ satisfaction score, &lt;3% churn during beta.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