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Contract Review - Vendor X</w:t>
      </w:r>
    </w:p>
    <w:p>
      <w:pPr/>
      <w:r>
        <w:t>Generated: 2026-02-20 13:28:16</w:t>
      </w:r>
    </w:p>
    <w:p/>
    <w:p>
      <w:pPr>
        <w:spacing w:line="276" w:lineRule="auto"/>
      </w:pPr>
      <w:r>
        <w:t>Data Privacy Impact Assessment (DPIA): New analytics platform processes customer SSN, email, phone. Risk assessment: Medium (requires additional encryption and access controls). DPIA approval obtained 2/10/2025. Implementation timeline: Phase 1 (encryption) by 3/31/2025.</w:t>
      </w:r>
    </w:p>
    <w:p>
      <w:pPr>
        <w:spacing w:line="276" w:lineRule="auto"/>
      </w:pPr>
      <w:r>
        <w:t>Litigation Summary: Case #2025-CV-1234 (Smith v. Company): Dismissed on summary judgment 2/15/2025. Case #2025-CV-5678 (Employment dispute - confidential): Settlement discussions ongoing, estimated $300K settlement authority approved by Board. Expected resolution by Q2.</w:t>
      </w:r>
    </w:p>
    <w:p>
      <w:pPr>
        <w:spacing w:line="276" w:lineRule="auto"/>
      </w:pPr>
      <w:r>
        <w:t>SOC 2 Compliance Status: Type II audit in progress with Deloitte (expected completion 6/30/2025). Current gaps identified in access control procedures for database systems. HIPAA Assessment: Required for healthcare client contracts - audit scheduled April 2025. GDPR compliance: All customer data processing documented and privacy policy updated.</w:t>
      </w:r>
    </w:p>
    <w:p>
      <w:pPr>
        <w:spacing w:line="276" w:lineRule="auto"/>
      </w:pPr>
      <w:r>
        <w:t>Vendor Contract Review - Acme Corporation: Service Agreement effective 3/1/2025 through 2/28/2027. Payment terms: $50,000 monthly. SLA penalties: $5,000/hour downtime. Termination clause: 90-day notice. Legal review identified risk in IP indemnification clause - recommend negotiation of Article 12.</w:t>
      </w:r>
    </w:p>
    <w:p>
      <w:pPr>
        <w:spacing w:line="276" w:lineRule="auto"/>
      </w:pPr>
      <w:r>
        <w:t>Insurance Portfolio Review: General Liability $5M coverage (Carrier: XYZ Insurance), Professional Liability $2M (Carrier: ABC Insurance), D&amp;O Insurance $10M. Annual premium: $485,000. Renewal negotiation in progress - recommend maintaining current coverage levels.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