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Confidentiality and IP Assignment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Master Service Agreement</w:t>
      </w:r>
    </w:p>
    <w:p>
      <w:pPr>
        <w:spacing w:line="276" w:lineRule="auto" w:after="120"/>
      </w:pPr>
      <w:r>
        <w:t>MASTER SERVICE AGREEMENT</w:t>
      </w:r>
    </w:p>
    <w:p/>
    <w:p>
      <w:pPr>
        <w:spacing w:line="276" w:lineRule="auto" w:after="120"/>
      </w:pPr>
      <w:r>
        <w:t>This Agreement between [CONSULTING FIRM] ("Consultant") and [CLIENT] ("Client")</w:t>
      </w:r>
    </w:p>
    <w:p>
      <w:pPr>
        <w:spacing w:line="276" w:lineRule="auto" w:after="120"/>
      </w:pPr>
      <w:r>
        <w:t>governs all consulting services and deliverables.</w:t>
      </w:r>
    </w:p>
    <w:p/>
    <w:p>
      <w:pPr>
        <w:spacing w:line="276" w:lineRule="auto" w:after="120"/>
      </w:pPr>
      <w:r>
        <w:t>TERM: Effective [DATE] through [DATE] or earlier termination per Section 12</w:t>
      </w:r>
    </w:p>
    <w:p/>
    <w:p>
      <w:pPr>
        <w:spacing w:line="276" w:lineRule="auto" w:after="120"/>
      </w:pPr>
      <w:r>
        <w:t>KEY TERMS:</w:t>
      </w:r>
    </w:p>
    <w:p>
      <w:pPr>
        <w:spacing w:line="276" w:lineRule="auto" w:after="120"/>
      </w:pPr>
      <w:r>
        <w:t>1. SCOPE OF WORK</w:t>
      </w:r>
    </w:p>
    <w:p>
      <w:pPr>
        <w:spacing w:line="276" w:lineRule="auto" w:after="120"/>
      </w:pPr>
      <w:r>
        <w:t>Consultant will provide management consulting services as detailed in individual</w:t>
      </w:r>
    </w:p>
    <w:p>
      <w:pPr>
        <w:spacing w:line="276" w:lineRule="auto" w:after="120"/>
      </w:pPr>
      <w:r>
        <w:t>Statements of Work (SOWs), each incorporating this MSA by reference.</w:t>
      </w:r>
    </w:p>
    <w:p/>
    <w:p>
      <w:pPr>
        <w:spacing w:line="276" w:lineRule="auto" w:after="120"/>
      </w:pPr>
      <w:r>
        <w:t>2. FEES AND PAYMENT</w:t>
      </w:r>
    </w:p>
    <w:p>
      <w:pPr>
        <w:spacing w:line="276" w:lineRule="auto" w:after="120"/>
      </w:pPr>
      <w:r>
        <w:t>- Project fees: Time and materials or fixed price per SOW</w:t>
      </w:r>
    </w:p>
    <w:p>
      <w:pPr>
        <w:spacing w:line="276" w:lineRule="auto" w:after="120"/>
      </w:pPr>
      <w:r>
        <w:t>- Rates: $175/hour for Consultants, $425/hour for Senior Managers, $850/hour for Partners</w:t>
      </w:r>
    </w:p>
    <w:p>
      <w:pPr>
        <w:spacing w:line="276" w:lineRule="auto" w:after="120"/>
      </w:pPr>
      <w:r>
        <w:t>- Invoicing: Monthly for T&amp;M, milestone-based for fixed-price</w:t>
      </w:r>
    </w:p>
    <w:p>
      <w:pPr>
        <w:spacing w:line="276" w:lineRule="auto" w:after="120"/>
      </w:pPr>
      <w:r>
        <w:t>- Payment terms: Net 30 from invoice date</w:t>
      </w:r>
    </w:p>
    <w:p>
      <w:pPr>
        <w:spacing w:line="276" w:lineRule="auto" w:after="120"/>
      </w:pPr>
      <w:r>
        <w:t>- Late payment: 1.5% monthly interest on overdue amounts</w:t>
      </w:r>
    </w:p>
    <w:p/>
    <w:p>
      <w:pPr>
        <w:spacing w:line="276" w:lineRule="auto" w:after="120"/>
      </w:pPr>
      <w:r>
        <w:t>3. CONFIDENTIALITY</w:t>
      </w:r>
    </w:p>
    <w:p>
      <w:pPr>
        <w:spacing w:line="276" w:lineRule="auto" w:after="120"/>
      </w:pPr>
      <w:r>
        <w:t>Both parties agree to maintain strict confidentiality regarding:</w:t>
      </w:r>
    </w:p>
    <w:p>
      <w:pPr>
        <w:spacing w:line="276" w:lineRule="auto" w:after="120"/>
      </w:pPr>
      <w:r>
        <w:t>- Business strategies and proprietary information</w:t>
      </w:r>
    </w:p>
    <w:p>
      <w:pPr>
        <w:spacing w:line="276" w:lineRule="auto" w:after="120"/>
      </w:pPr>
      <w:r>
        <w:t>- Client financial information and performance metrics</w:t>
      </w:r>
    </w:p>
    <w:p>
      <w:pPr>
        <w:spacing w:line="276" w:lineRule="auto" w:after="120"/>
      </w:pPr>
      <w:r>
        <w:t>- Consultant methodologies and tools</w:t>
      </w:r>
    </w:p>
    <w:p>
      <w:pPr>
        <w:spacing w:line="276" w:lineRule="auto" w:after="120"/>
      </w:pPr>
      <w:r>
        <w:t>- Duration: 5 years beyond engagement termination</w:t>
      </w:r>
    </w:p>
    <w:p>
      <w:pPr>
        <w:spacing w:line="276" w:lineRule="auto" w:after="120"/>
      </w:pPr>
      <w:r>
        <w:t>- Exception: Information required by law or court order with 10-day notice</w:t>
      </w:r>
    </w:p>
    <w:p/>
    <w:p>
      <w:pPr>
        <w:spacing w:line="276" w:lineRule="auto" w:after="120"/>
      </w:pPr>
      <w:r>
        <w:t>4. INTELLECTUAL PROPERTY</w:t>
      </w:r>
    </w:p>
    <w:p>
      <w:pPr>
        <w:spacing w:line="276" w:lineRule="auto" w:after="120"/>
      </w:pPr>
      <w:r>
        <w:t>- Pre-existing IP: Retained by respective owners</w:t>
      </w:r>
    </w:p>
    <w:p>
      <w:pPr>
        <w:spacing w:line="276" w:lineRule="auto" w:after="120"/>
      </w:pPr>
      <w:r>
        <w:t>- Work product: Client retains ownership of deliverables</w:t>
      </w:r>
    </w:p>
    <w:p>
      <w:pPr>
        <w:spacing w:line="276" w:lineRule="auto" w:after="120"/>
      </w:pPr>
      <w:r>
        <w:t>- Consultant retains methodology, templates, and frameworks</w:t>
      </w:r>
    </w:p>
    <w:p>
      <w:pPr>
        <w:spacing w:line="276" w:lineRule="auto" w:after="120"/>
      </w:pPr>
      <w:r>
        <w:t>- License: Client grants non-exclusive license to use pre-existing IP</w:t>
      </w:r>
    </w:p>
    <w:p/>
    <w:p>
      <w:pPr>
        <w:spacing w:line="276" w:lineRule="auto" w:after="120"/>
      </w:pPr>
      <w:r>
        <w:t>5. LIABILITY AND INDEMNIFICATION</w:t>
      </w:r>
    </w:p>
    <w:p>
      <w:pPr>
        <w:spacing w:line="276" w:lineRule="auto" w:after="120"/>
      </w:pPr>
      <w:r>
        <w:t>- Professional liability insurance: $2M per claim, $5M aggregate</w:t>
      </w:r>
    </w:p>
    <w:p>
      <w:pPr>
        <w:spacing w:line="276" w:lineRule="auto" w:after="120"/>
      </w:pPr>
      <w:r>
        <w:t>- Limitation of liability: Lesser of amount paid or $2M</w:t>
      </w:r>
    </w:p>
    <w:p>
      <w:pPr>
        <w:spacing w:line="276" w:lineRule="auto" w:after="120"/>
      </w:pPr>
      <w:r>
        <w:t>- Indemnification: Client holds Consultant harmless from IP infringement claims</w:t>
      </w:r>
    </w:p>
    <w:p/>
    <w:p>
      <w:pPr>
        <w:spacing w:line="276" w:lineRule="auto" w:after="120"/>
      </w:pPr>
      <w:r>
        <w:t>6. DATA SECURITY</w:t>
      </w:r>
    </w:p>
    <w:p>
      <w:pPr>
        <w:spacing w:line="276" w:lineRule="auto" w:after="120"/>
      </w:pPr>
      <w:r>
        <w:t>- Consultant maintains SOC 2 Type II certification</w:t>
      </w:r>
    </w:p>
    <w:p>
      <w:pPr>
        <w:spacing w:line="276" w:lineRule="auto" w:after="120"/>
      </w:pPr>
      <w:r>
        <w:t>- Data encryption: AES-256 for data at rest, TLS 1.2+ for transit</w:t>
      </w:r>
    </w:p>
    <w:p>
      <w:pPr>
        <w:spacing w:line="276" w:lineRule="auto" w:after="120"/>
      </w:pPr>
      <w:r>
        <w:t>- Access controls: Role-based, multi-factor authentication required</w:t>
      </w:r>
    </w:p>
    <w:p>
      <w:pPr>
        <w:spacing w:line="276" w:lineRule="auto" w:after="120"/>
      </w:pPr>
      <w:r>
        <w:t>- Incident reporting: 24 hours for security breaches</w:t>
      </w:r>
    </w:p>
    <w:p/>
    <w:p>
      <w:pPr>
        <w:spacing w:line="276" w:lineRule="auto" w:after="120"/>
      </w:pPr>
      <w:r>
        <w:t>7. TERMINATION</w:t>
      </w:r>
    </w:p>
    <w:p>
      <w:pPr>
        <w:spacing w:line="276" w:lineRule="auto" w:after="120"/>
      </w:pPr>
      <w:r>
        <w:t>- Termination for convenience: 30 days written notice</w:t>
      </w:r>
    </w:p>
    <w:p>
      <w:pPr>
        <w:spacing w:line="276" w:lineRule="auto" w:after="120"/>
      </w:pPr>
      <w:r>
        <w:t>- Termination for cause: Immediate for material breach (10-day cure period)</w:t>
      </w:r>
    </w:p>
    <w:p>
      <w:pPr>
        <w:spacing w:line="276" w:lineRule="auto" w:after="120"/>
      </w:pPr>
      <w:r>
        <w:t>- Expenses upon termination: Client pays for work through termination date</w:t>
      </w:r>
    </w:p>
    <w:p/>
    <w:p>
      <w:pPr>
        <w:spacing w:line="276" w:lineRule="auto" w:after="120"/>
      </w:pPr>
      <w:r>
        <w:t>GOVERNING LAW: State of [STATE], USA</w:t>
      </w:r>
    </w:p>
    <w:p>
      <w:pPr>
        <w:spacing w:line="276" w:lineRule="auto" w:after="120"/>
      </w:pPr>
      <w:r>
        <w:t>DISPUTE RESOLUTION: Binding arbitration, JAMS rules</w:t>
      </w:r>
    </w:p>
    <w:p/>
    <w:p>
      <w:pPr>
        <w:spacing w:line="276" w:lineRule="auto" w:after="120"/>
      </w:pPr>
      <w:r>
        <w:t>SIGNATURES:</w:t>
      </w:r>
    </w:p>
    <w:p>
      <w:pPr>
        <w:spacing w:line="276" w:lineRule="auto" w:after="120"/>
      </w:pPr>
      <w:r>
        <w:t>Client: _________________________ Date: _________</w:t>
      </w:r>
    </w:p>
    <w:p>
      <w:pPr>
        <w:spacing w:line="276" w:lineRule="auto" w:after="120"/>
      </w:pPr>
      <w:r>
        <w:t>Consultant: _________________________ Date: _________</w:t>
      </w:r>
    </w:p>
    <w:p>
      <w:pPr>
        <w:pStyle w:val="Heading2"/>
      </w:pPr>
      <w:r>
        <w:rPr>
          <w:color w:val="0050A0"/>
          <w:sz w:val="26"/>
        </w:rPr>
        <w:t>Data Processing Agreement</w:t>
      </w:r>
    </w:p>
    <w:p>
      <w:pPr>
        <w:spacing w:line="276" w:lineRule="auto" w:after="120"/>
      </w:pPr>
      <w:r>
        <w:t>DATA PROCESSING AGREEMENT (GDPR Article 28)</w:t>
      </w:r>
    </w:p>
    <w:p/>
    <w:p>
      <w:pPr>
        <w:spacing w:line="276" w:lineRule="auto" w:after="120"/>
      </w:pPr>
      <w:r>
        <w:t>BETWEEN: [Consulting Firm] ("Processor") and [Client] ("Controller")</w:t>
      </w:r>
    </w:p>
    <w:p/>
    <w:p>
      <w:pPr>
        <w:spacing w:line="276" w:lineRule="auto" w:after="120"/>
      </w:pPr>
      <w:r>
        <w:t>DATA PROCESSING TERMS:</w:t>
      </w:r>
    </w:p>
    <w:p>
      <w:pPr>
        <w:spacing w:line="276" w:lineRule="auto" w:after="120"/>
      </w:pPr>
      <w:r>
        <w:t>Subject Matter: Consulting engagement data processing</w:t>
      </w:r>
    </w:p>
    <w:p>
      <w:pPr>
        <w:spacing w:line="276" w:lineRule="auto" w:after="120"/>
      </w:pPr>
      <w:r>
        <w:t>Duration: As per Master Service Agreement</w:t>
      </w:r>
    </w:p>
    <w:p>
      <w:pPr>
        <w:spacing w:line="276" w:lineRule="auto" w:after="120"/>
      </w:pPr>
      <w:r>
        <w:t>Nature of Processing: Data analysis, reporting, aggregate metrics</w:t>
      </w:r>
    </w:p>
    <w:p/>
    <w:p>
      <w:pPr>
        <w:spacing w:line="276" w:lineRule="auto" w:after="120"/>
      </w:pPr>
      <w:r>
        <w:t>PROCESSOR OBLIGATIONS:</w:t>
      </w:r>
    </w:p>
    <w:p>
      <w:pPr>
        <w:spacing w:line="276" w:lineRule="auto" w:after="120"/>
      </w:pPr>
      <w:r>
        <w:t>1. Personal Data Categories: Employee data, customer data as necessary</w:t>
      </w:r>
    </w:p>
    <w:p>
      <w:pPr>
        <w:spacing w:line="276" w:lineRule="auto" w:after="120"/>
      </w:pPr>
      <w:r>
        <w:t>2. Data Security Measures:</w:t>
      </w:r>
    </w:p>
    <w:p>
      <w:pPr>
        <w:spacing w:line="276" w:lineRule="auto" w:after="120"/>
      </w:pPr>
      <w:r>
        <w:t>- Encryption: AES-256 at rest, TLS 1.2+ in transit</w:t>
      </w:r>
    </w:p>
    <w:p>
      <w:pPr>
        <w:spacing w:line="276" w:lineRule="auto" w:after="120"/>
      </w:pPr>
      <w:r>
        <w:t>- Access controls: Limited to essential personnel</w:t>
      </w:r>
    </w:p>
    <w:p>
      <w:pPr>
        <w:spacing w:line="276" w:lineRule="auto" w:after="120"/>
      </w:pPr>
      <w:r>
        <w:t>- Staff training: GDPR and data protection annually</w:t>
      </w:r>
    </w:p>
    <w:p>
      <w:pPr>
        <w:spacing w:line="276" w:lineRule="auto" w:after="120"/>
      </w:pPr>
      <w:r>
        <w:t>- Incident response: 24-hour breach notification</w:t>
      </w:r>
    </w:p>
    <w:p/>
    <w:p>
      <w:pPr>
        <w:spacing w:line="276" w:lineRule="auto" w:after="120"/>
      </w:pPr>
      <w:r>
        <w:t>3. Sub-processors: Written approval required for any sub-processor</w:t>
      </w:r>
    </w:p>
    <w:p>
      <w:pPr>
        <w:spacing w:line="276" w:lineRule="auto" w:after="120"/>
      </w:pPr>
      <w:r>
        <w:t>4. Data Subject Rights: Assist Controller in fulfilling requests within 10 days</w:t>
      </w:r>
    </w:p>
    <w:p>
      <w:pPr>
        <w:spacing w:line="276" w:lineRule="auto" w:after="120"/>
      </w:pPr>
      <w:r>
        <w:t>5. Audit Rights: Client may audit security practices with 15-day notice</w:t>
      </w:r>
    </w:p>
    <w:p>
      <w:pPr>
        <w:spacing w:line="276" w:lineRule="auto" w:after="120"/>
      </w:pPr>
      <w:r>
        <w:t>6. Data Deletion: Delete or return all personal data within 30 days of engagement end</w:t>
      </w:r>
    </w:p>
    <w:p/>
    <w:p>
      <w:pPr>
        <w:spacing w:line="276" w:lineRule="auto" w:after="120"/>
      </w:pPr>
      <w:r>
        <w:t>STANDARD CONTRACTUAL CLAUSES:</w:t>
      </w:r>
    </w:p>
    <w:p>
      <w:pPr>
        <w:spacing w:line="276" w:lineRule="auto" w:after="120"/>
      </w:pPr>
      <w:r>
        <w:t>Processor certifies compliance with EU-US Data Privacy Framework and SCCs</w:t>
      </w:r>
    </w:p>
    <w:p/>
    <w:p>
      <w:pPr>
        <w:spacing w:line="276" w:lineRule="auto" w:after="120"/>
      </w:pPr>
      <w:r>
        <w:t>LIABILITIES:</w:t>
      </w:r>
    </w:p>
    <w:p>
      <w:pPr>
        <w:spacing w:line="276" w:lineRule="auto" w:after="120"/>
      </w:pPr>
      <w:r>
        <w:t>- Processor liability capped at contract value or $2M (lesser amount)</w:t>
      </w:r>
    </w:p>
    <w:p>
      <w:pPr>
        <w:spacing w:line="276" w:lineRule="auto" w:after="120"/>
      </w:pPr>
      <w:r>
        <w:t>- Indemnifies Controller for non-compliance with GDPR obligations</w:t>
      </w:r>
    </w:p>
    <w:p>
      <w:pPr>
        <w:spacing w:line="276" w:lineRule="auto" w:after="120"/>
      </w:pPr>
      <w:r>
        <w:t>- Maintains errors and omissions insurance: $2M minimum</w:t>
      </w:r>
    </w:p>
    <w:p/>
    <w:p>
      <w:pPr>
        <w:spacing w:line="276" w:lineRule="auto" w:after="120"/>
      </w:pPr>
      <w:r>
        <w:t>SIGNATURES: _________________________ Date: _________</w:t>
      </w:r>
    </w:p>
    <w:p>
      <w:pPr>
        <w:pStyle w:val="Heading2"/>
      </w:pPr>
      <w:r>
        <w:rPr>
          <w:color w:val="0050A0"/>
          <w:sz w:val="26"/>
        </w:rPr>
        <w:t>Insurance Schedule</w:t>
      </w:r>
    </w:p>
    <w:p>
      <w:pPr>
        <w:spacing w:line="276" w:lineRule="auto" w:after="120"/>
      </w:pPr>
      <w:r>
        <w:t>INSURANCE REQUIREMENTS AND COVERAGE</w:t>
      </w:r>
    </w:p>
    <w:p/>
    <w:p>
      <w:pPr>
        <w:spacing w:line="276" w:lineRule="auto" w:after="120"/>
      </w:pPr>
      <w:r>
        <w:t>PROFESSIONAL LIABILITY INSURANCE:</w:t>
      </w:r>
    </w:p>
    <w:p>
      <w:pPr>
        <w:spacing w:line="276" w:lineRule="auto" w:after="120"/>
      </w:pPr>
      <w:r>
        <w:t>- Carrier: AIG | Policy #: PL-847293</w:t>
      </w:r>
    </w:p>
    <w:p>
      <w:pPr>
        <w:spacing w:line="276" w:lineRule="auto" w:after="120"/>
      </w:pPr>
      <w:r>
        <w:t>- Coverage: $2,000,000 per claim | $5,000,000 aggregate</w:t>
      </w:r>
    </w:p>
    <w:p>
      <w:pPr>
        <w:spacing w:line="276" w:lineRule="auto" w:after="120"/>
      </w:pPr>
      <w:r>
        <w:t>- Deductible: $50,000 per claim</w:t>
      </w:r>
    </w:p>
    <w:p>
      <w:pPr>
        <w:spacing w:line="276" w:lineRule="auto" w:after="120"/>
      </w:pPr>
      <w:r>
        <w:t>- Renewal: Annual (next renewal: March 2026)</w:t>
      </w:r>
    </w:p>
    <w:p>
      <w:pPr>
        <w:spacing w:line="276" w:lineRule="auto" w:after="120"/>
      </w:pPr>
      <w:r>
        <w:t>- Certificate holder: [Client Name]</w:t>
      </w:r>
    </w:p>
    <w:p/>
    <w:p>
      <w:pPr>
        <w:spacing w:line="276" w:lineRule="auto" w:after="120"/>
      </w:pPr>
      <w:r>
        <w:t>GENERAL LIABILITY:</w:t>
      </w:r>
    </w:p>
    <w:p>
      <w:pPr>
        <w:spacing w:line="276" w:lineRule="auto" w:after="120"/>
      </w:pPr>
      <w:r>
        <w:t>- Carrier: Hartford | Policy #: GL-102939</w:t>
      </w:r>
    </w:p>
    <w:p>
      <w:pPr>
        <w:spacing w:line="276" w:lineRule="auto" w:after="120"/>
      </w:pPr>
      <w:r>
        <w:t>- Coverage: $1,000,000 per occurrence | $2,000,000 aggregate</w:t>
      </w:r>
    </w:p>
    <w:p>
      <w:pPr>
        <w:spacing w:line="276" w:lineRule="auto" w:after="120"/>
      </w:pPr>
      <w:r>
        <w:t>- Bodily injury and property damage included</w:t>
      </w:r>
    </w:p>
    <w:p/>
    <w:p>
      <w:pPr>
        <w:spacing w:line="276" w:lineRule="auto" w:after="120"/>
      </w:pPr>
      <w:r>
        <w:t>CYBER LIABILITY:</w:t>
      </w:r>
    </w:p>
    <w:p>
      <w:pPr>
        <w:spacing w:line="276" w:lineRule="auto" w:after="120"/>
      </w:pPr>
      <w:r>
        <w:t>- Carrier: Chubb | Policy #: CY-556847</w:t>
      </w:r>
    </w:p>
    <w:p>
      <w:pPr>
        <w:spacing w:line="276" w:lineRule="auto" w:after="120"/>
      </w:pPr>
      <w:r>
        <w:t>- Coverage: $1,000,000 data breach, $500,000 privacy liability</w:t>
      </w:r>
    </w:p>
    <w:p>
      <w:pPr>
        <w:spacing w:line="276" w:lineRule="auto" w:after="120"/>
      </w:pPr>
      <w:r>
        <w:t>- Covers ransomware, data theft, business interruption</w:t>
      </w:r>
    </w:p>
    <w:p/>
    <w:p>
      <w:pPr>
        <w:spacing w:line="276" w:lineRule="auto" w:after="120"/>
      </w:pPr>
      <w:r>
        <w:t>WORKERS COMPENSATION:</w:t>
      </w:r>
    </w:p>
    <w:p>
      <w:pPr>
        <w:spacing w:line="276" w:lineRule="auto" w:after="120"/>
      </w:pPr>
      <w:r>
        <w:t>- Carrier: State Fund | Coverage: Statutory limits all states</w:t>
      </w:r>
    </w:p>
    <w:p/>
    <w:p>
      <w:pPr>
        <w:spacing w:line="276" w:lineRule="auto" w:after="120"/>
      </w:pPr>
      <w:r>
        <w:t>EMPLOYMENT PRACTICES LIABILITY:</w:t>
      </w:r>
    </w:p>
    <w:p>
      <w:pPr>
        <w:spacing w:line="276" w:lineRule="auto" w:after="120"/>
      </w:pPr>
      <w:r>
        <w:t>- Carrier: Travelers | Policy #: EPL-293847</w:t>
      </w:r>
    </w:p>
    <w:p>
      <w:pPr>
        <w:spacing w:line="276" w:lineRule="auto" w:after="120"/>
      </w:pPr>
      <w:r>
        <w:t>- Coverage: $1,000,000</w:t>
      </w:r>
    </w:p>
    <w:p>
      <w:pPr>
        <w:spacing w:line="276" w:lineRule="auto" w:after="120"/>
      </w:pPr>
      <w:r>
        <w:t>- Covers wrongful termination, discrimination, harassment claims</w:t>
      </w:r>
    </w:p>
    <w:p/>
    <w:p>
      <w:pPr>
        <w:spacing w:line="276" w:lineRule="auto" w:after="120"/>
      </w:pPr>
      <w:r>
        <w:t>CERTIFICATE OF INSURANCE: Valid through March 2026</w:t>
      </w:r>
    </w:p>
    <w:p>
      <w:pPr>
        <w:spacing w:line="276" w:lineRule="auto" w:after="120"/>
      </w:pPr>
      <w:r>
        <w:t>Additional insured: [Client Name] for PL and GL policies</w:t>
      </w:r>
    </w:p>
    <w:p/>
    <w:p>
      <w:pPr>
        <w:spacing w:line="276" w:lineRule="auto" w:after="120"/>
      </w:pPr>
      <w:r>
        <w:t>Claims reporting: Within 24 hours to [Contact Name], [Phone Number]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