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Project Status Report - Monthly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Project Charter</w:t>
      </w:r>
    </w:p>
    <w:p>
      <w:pPr>
        <w:spacing w:line="276" w:lineRule="auto" w:after="120"/>
      </w:pPr>
      <w:r>
        <w:t>PROJECT CHARTER</w:t>
      </w:r>
    </w:p>
    <w:p/>
    <w:p>
      <w:pPr>
        <w:spacing w:line="276" w:lineRule="auto" w:after="120"/>
      </w:pPr>
      <w:r>
        <w:t>PROJECT NAME: Digital Transformation Initiative - Phase 1</w:t>
      </w:r>
    </w:p>
    <w:p>
      <w:pPr>
        <w:spacing w:line="276" w:lineRule="auto" w:after="120"/>
      </w:pPr>
      <w:r>
        <w:t>PROJECT MANAGER: Robert Chen | Phone: 555-0147 | Email: r.chen@consulting.com</w:t>
      </w:r>
    </w:p>
    <w:p>
      <w:pPr>
        <w:spacing w:line="276" w:lineRule="auto" w:after="120"/>
      </w:pPr>
      <w:r>
        <w:t>EXECUTIVE SPONSOR: Jane Williams, CIO</w:t>
      </w:r>
    </w:p>
    <w:p/>
    <w:p>
      <w:pPr>
        <w:spacing w:line="276" w:lineRule="auto" w:after="120"/>
      </w:pPr>
      <w:r>
        <w:t>BUSINESS CASE:</w:t>
      </w:r>
    </w:p>
    <w:p>
      <w:pPr>
        <w:spacing w:line="276" w:lineRule="auto" w:after="120"/>
      </w:pPr>
      <w:r>
        <w:t>Problem Statement: Legacy systems limit revenue growth by 23% YoY</w:t>
      </w:r>
    </w:p>
    <w:p>
      <w:pPr>
        <w:spacing w:line="276" w:lineRule="auto" w:after="120"/>
      </w:pPr>
      <w:r>
        <w:t>Opportunity: Digital-first architecture enables $12.3M additional revenue</w:t>
      </w:r>
    </w:p>
    <w:p>
      <w:pPr>
        <w:spacing w:line="276" w:lineRule="auto" w:after="120"/>
      </w:pPr>
      <w:r>
        <w:t>Strategic Alignment: Aligns with 2026 technology modernization initiative</w:t>
      </w:r>
    </w:p>
    <w:p>
      <w:pPr>
        <w:spacing w:line="276" w:lineRule="auto" w:after="120"/>
      </w:pPr>
      <w:r>
        <w:t>Expected Benefits:</w:t>
      </w:r>
    </w:p>
    <w:p>
      <w:pPr>
        <w:spacing w:line="276" w:lineRule="auto" w:after="120"/>
      </w:pPr>
      <w:r>
        <w:t>- Revenue increase: $12.3M over 3 years</w:t>
      </w:r>
    </w:p>
    <w:p>
      <w:pPr>
        <w:spacing w:line="276" w:lineRule="auto" w:after="120"/>
      </w:pPr>
      <w:r>
        <w:t>- Cost savings: $4.1M annually</w:t>
      </w:r>
    </w:p>
    <w:p>
      <w:pPr>
        <w:spacing w:line="276" w:lineRule="auto" w:after="120"/>
      </w:pPr>
      <w:r>
        <w:t>- Risk reduction: $2.1M compliance exposure eliminated</w:t>
      </w:r>
    </w:p>
    <w:p/>
    <w:p>
      <w:pPr>
        <w:spacing w:line="276" w:lineRule="auto" w:after="120"/>
      </w:pPr>
      <w:r>
        <w:t>PROJECT SCOPE:</w:t>
      </w:r>
    </w:p>
    <w:p>
      <w:pPr>
        <w:spacing w:line="276" w:lineRule="auto" w:after="120"/>
      </w:pPr>
      <w:r>
        <w:t>In scope:</w:t>
      </w:r>
    </w:p>
    <w:p>
      <w:pPr>
        <w:spacing w:line="276" w:lineRule="auto" w:after="120"/>
      </w:pPr>
      <w:r>
        <w:t>- Legacy system assessment (89 applications audited)</w:t>
      </w:r>
    </w:p>
    <w:p>
      <w:pPr>
        <w:spacing w:line="276" w:lineRule="auto" w:after="120"/>
      </w:pPr>
      <w:r>
        <w:t>- Cloud infrastructure design and implementation</w:t>
      </w:r>
    </w:p>
    <w:p>
      <w:pPr>
        <w:spacing w:line="276" w:lineRule="auto" w:after="120"/>
      </w:pPr>
      <w:r>
        <w:t>- Data migration strategy and execution</w:t>
      </w:r>
    </w:p>
    <w:p>
      <w:pPr>
        <w:spacing w:line="276" w:lineRule="auto" w:after="120"/>
      </w:pPr>
      <w:r>
        <w:t>- Process redesign for digital workflows</w:t>
      </w:r>
    </w:p>
    <w:p>
      <w:pPr>
        <w:spacing w:line="276" w:lineRule="auto" w:after="120"/>
      </w:pPr>
      <w:r>
        <w:t>- Staff training and change management</w:t>
      </w:r>
    </w:p>
    <w:p/>
    <w:p>
      <w:pPr>
        <w:spacing w:line="276" w:lineRule="auto" w:after="120"/>
      </w:pPr>
      <w:r>
        <w:t>Out of scope:</w:t>
      </w:r>
    </w:p>
    <w:p>
      <w:pPr>
        <w:spacing w:line="276" w:lineRule="auto" w:after="120"/>
      </w:pPr>
      <w:r>
        <w:t>- Business process reengineering beyond digital enablement</w:t>
      </w:r>
    </w:p>
    <w:p>
      <w:pPr>
        <w:spacing w:line="276" w:lineRule="auto" w:after="120"/>
      </w:pPr>
      <w:r>
        <w:t>- Third-party software implementation</w:t>
      </w:r>
    </w:p>
    <w:p>
      <w:pPr>
        <w:spacing w:line="276" w:lineRule="auto" w:after="120"/>
      </w:pPr>
      <w:r>
        <w:t>- Real estate consolidation</w:t>
      </w:r>
    </w:p>
    <w:p/>
    <w:p>
      <w:pPr>
        <w:spacing w:line="276" w:lineRule="auto" w:after="120"/>
      </w:pPr>
      <w:r>
        <w:t>PROJECT TIMELINE:</w:t>
      </w:r>
    </w:p>
    <w:p>
      <w:pPr>
        <w:spacing w:line="276" w:lineRule="auto" w:after="120"/>
      </w:pPr>
      <w:r>
        <w:t>Start Date: March 15, 2026</w:t>
      </w:r>
    </w:p>
    <w:p>
      <w:pPr>
        <w:spacing w:line="276" w:lineRule="auto" w:after="120"/>
      </w:pPr>
      <w:r>
        <w:t>End Date: September 30, 2027 (18 months)</w:t>
      </w:r>
    </w:p>
    <w:p>
      <w:pPr>
        <w:spacing w:line="276" w:lineRule="auto" w:after="120"/>
      </w:pPr>
      <w:r>
        <w:t>Phase 1: Design (M1-3)</w:t>
      </w:r>
    </w:p>
    <w:p>
      <w:pPr>
        <w:spacing w:line="276" w:lineRule="auto" w:after="120"/>
      </w:pPr>
      <w:r>
        <w:t>Phase 2: Pilot (M4-6)</w:t>
      </w:r>
    </w:p>
    <w:p>
      <w:pPr>
        <w:spacing w:line="276" w:lineRule="auto" w:after="120"/>
      </w:pPr>
      <w:r>
        <w:t>Phase 3: Scale (M7-15)</w:t>
      </w:r>
    </w:p>
    <w:p>
      <w:pPr>
        <w:spacing w:line="276" w:lineRule="auto" w:after="120"/>
      </w:pPr>
      <w:r>
        <w:t>Phase 4: Optimization (M16-18)</w:t>
      </w:r>
    </w:p>
    <w:p/>
    <w:p>
      <w:pPr>
        <w:spacing w:line="276" w:lineRule="auto" w:after="120"/>
      </w:pPr>
      <w:r>
        <w:t>BUDGET: $8.2M total</w:t>
      </w:r>
    </w:p>
    <w:p>
      <w:pPr>
        <w:spacing w:line="276" w:lineRule="auto" w:after="120"/>
      </w:pPr>
      <w:r>
        <w:t>- Consulting: $3.2M (39%)</w:t>
      </w:r>
    </w:p>
    <w:p>
      <w:pPr>
        <w:spacing w:line="276" w:lineRule="auto" w:after="120"/>
      </w:pPr>
      <w:r>
        <w:t>- Technology: $3.1M (38%)</w:t>
      </w:r>
    </w:p>
    <w:p>
      <w:pPr>
        <w:spacing w:line="276" w:lineRule="auto" w:after="120"/>
      </w:pPr>
      <w:r>
        <w:t>- Infrastructure: $1.1M (13%)</w:t>
      </w:r>
    </w:p>
    <w:p>
      <w:pPr>
        <w:spacing w:line="276" w:lineRule="auto" w:after="120"/>
      </w:pPr>
      <w:r>
        <w:t>- Training/Change: $0.8M (10%)</w:t>
      </w:r>
    </w:p>
    <w:p/>
    <w:p>
      <w:pPr>
        <w:spacing w:line="276" w:lineRule="auto" w:after="120"/>
      </w:pPr>
      <w:r>
        <w:t>SUCCESS CRITERIA:</w:t>
      </w:r>
    </w:p>
    <w:p>
      <w:pPr>
        <w:spacing w:line="276" w:lineRule="auto" w:after="120"/>
      </w:pPr>
      <w:r>
        <w:t>- On-time delivery (within 5% schedule variance)</w:t>
      </w:r>
    </w:p>
    <w:p>
      <w:pPr>
        <w:spacing w:line="276" w:lineRule="auto" w:after="120"/>
      </w:pPr>
      <w:r>
        <w:t>- On-budget execution (within 5% cost variance)</w:t>
      </w:r>
    </w:p>
    <w:p>
      <w:pPr>
        <w:spacing w:line="276" w:lineRule="auto" w:after="120"/>
      </w:pPr>
      <w:r>
        <w:t>- 90%+ system uptime during migration</w:t>
      </w:r>
    </w:p>
    <w:p>
      <w:pPr>
        <w:spacing w:line="276" w:lineRule="auto" w:after="120"/>
      </w:pPr>
      <w:r>
        <w:t>- User adoption rate: &gt;85% within 60 days of go-live</w:t>
      </w:r>
    </w:p>
    <w:p>
      <w:pPr>
        <w:spacing w:line="276" w:lineRule="auto" w:after="120"/>
      </w:pPr>
      <w:r>
        <w:t>- ROI realization: 60% of projected benefits by end of year 2</w:t>
      </w:r>
    </w:p>
    <w:p/>
    <w:p>
      <w:pPr>
        <w:spacing w:line="276" w:lineRule="auto" w:after="120"/>
      </w:pPr>
      <w:r>
        <w:t>GOVERNANCE:</w:t>
      </w:r>
    </w:p>
    <w:p>
      <w:pPr>
        <w:spacing w:line="276" w:lineRule="auto" w:after="120"/>
      </w:pPr>
      <w:r>
        <w:t>Steering Committee: Monthly (CIO, CFO, CTO, Project Sponsor)</w:t>
      </w:r>
    </w:p>
    <w:p>
      <w:pPr>
        <w:spacing w:line="276" w:lineRule="auto" w:after="120"/>
      </w:pPr>
      <w:r>
        <w:t>Project Leadership: Weekly (PM, leads, key stakeholders)</w:t>
      </w:r>
    </w:p>
    <w:p>
      <w:pPr>
        <w:spacing w:line="276" w:lineRule="auto" w:after="120"/>
      </w:pPr>
      <w:r>
        <w:t>Working Teams: Bi-weekly (implementation teams)</w:t>
      </w:r>
    </w:p>
    <w:p/>
    <w:p>
      <w:pPr>
        <w:spacing w:line="276" w:lineRule="auto" w:after="120"/>
      </w:pPr>
      <w:r>
        <w:t>AUTHORIZATION:</w:t>
      </w:r>
    </w:p>
    <w:p>
      <w:pPr>
        <w:spacing w:line="276" w:lineRule="auto" w:after="120"/>
      </w:pPr>
      <w:r>
        <w:t>Project Sponsor: _________________________ Date: _________</w:t>
      </w:r>
    </w:p>
    <w:p>
      <w:pPr>
        <w:spacing w:line="276" w:lineRule="auto" w:after="120"/>
      </w:pPr>
      <w:r>
        <w:t>CFO Approval: _________________________ Date: _________</w:t>
      </w:r>
    </w:p>
    <w:p>
      <w:pPr>
        <w:spacing w:line="276" w:lineRule="auto" w:after="120"/>
      </w:pPr>
      <w:r>
        <w:t>CIO Approval: _________________________ Date: _________</w:t>
      </w:r>
    </w:p>
    <w:p>
      <w:pPr>
        <w:pStyle w:val="Heading2"/>
      </w:pPr>
      <w:r>
        <w:rPr>
          <w:color w:val="0050A0"/>
          <w:sz w:val="26"/>
        </w:rPr>
        <w:t>Risk Register</w:t>
      </w:r>
    </w:p>
    <w:p>
      <w:pPr>
        <w:spacing w:line="276" w:lineRule="auto" w:after="120"/>
      </w:pPr>
      <w:r>
        <w:t>PROJECT RISK REGISTER - Q1 2026</w:t>
      </w:r>
    </w:p>
    <w:p/>
    <w:p>
      <w:pPr>
        <w:spacing w:line="276" w:lineRule="auto" w:after="120"/>
      </w:pPr>
      <w:r>
        <w:t>RISK ID: RK-001 | Executive Sponsorship Erosion</w:t>
      </w:r>
    </w:p>
    <w:p>
      <w:pPr>
        <w:spacing w:line="276" w:lineRule="auto" w:after="120"/>
      </w:pPr>
      <w:r>
        <w:t>Probability: 23% | Impact: 5 (Critical)</w:t>
      </w:r>
    </w:p>
    <w:p>
      <w:pPr>
        <w:spacing w:line="276" w:lineRule="auto" w:after="120"/>
      </w:pPr>
      <w:r>
        <w:t>Risk Score: 4.2/5.0</w:t>
      </w:r>
    </w:p>
    <w:p>
      <w:pPr>
        <w:spacing w:line="276" w:lineRule="auto" w:after="120"/>
      </w:pPr>
      <w:r>
        <w:t>Description: CIO transition in July may deprioritize project</w:t>
      </w:r>
    </w:p>
    <w:p>
      <w:pPr>
        <w:spacing w:line="276" w:lineRule="auto" w:after="120"/>
      </w:pPr>
      <w:r>
        <w:t>Mitigation: Monthly steering committee visibility, clear KPIs</w:t>
      </w:r>
    </w:p>
    <w:p>
      <w:pPr>
        <w:spacing w:line="276" w:lineRule="auto" w:after="120"/>
      </w:pPr>
      <w:r>
        <w:t>Contingency: Escalation to EVP of Operations</w:t>
      </w:r>
    </w:p>
    <w:p>
      <w:pPr>
        <w:spacing w:line="276" w:lineRule="auto" w:after="120"/>
      </w:pPr>
      <w:r>
        <w:t>Owner: Project Manager</w:t>
      </w:r>
    </w:p>
    <w:p>
      <w:pPr>
        <w:spacing w:line="276" w:lineRule="auto" w:after="120"/>
      </w:pPr>
      <w:r>
        <w:t>Status: ACTIVE - Monitor</w:t>
      </w:r>
    </w:p>
    <w:p/>
    <w:p>
      <w:pPr>
        <w:spacing w:line="276" w:lineRule="auto" w:after="120"/>
      </w:pPr>
      <w:r>
        <w:t>RISK ID: RK-002 | Talent Retention During Migration</w:t>
      </w:r>
    </w:p>
    <w:p>
      <w:pPr>
        <w:spacing w:line="276" w:lineRule="auto" w:after="120"/>
      </w:pPr>
      <w:r>
        <w:t>Probability: 35% | Impact: 4 (High)</w:t>
      </w:r>
    </w:p>
    <w:p>
      <w:pPr>
        <w:spacing w:line="276" w:lineRule="auto" w:after="120"/>
      </w:pPr>
      <w:r>
        <w:t>Risk Score: 3.4/5.0</w:t>
      </w:r>
    </w:p>
    <w:p>
      <w:pPr>
        <w:spacing w:line="276" w:lineRule="auto" w:after="120"/>
      </w:pPr>
      <w:r>
        <w:t>Description: Key IT staff may leave during modernization</w:t>
      </w:r>
    </w:p>
    <w:p>
      <w:pPr>
        <w:spacing w:line="276" w:lineRule="auto" w:after="120"/>
      </w:pPr>
      <w:r>
        <w:t>Mitigation: Retention bonuses, upskilling program, clear career paths</w:t>
      </w:r>
    </w:p>
    <w:p>
      <w:pPr>
        <w:spacing w:line="276" w:lineRule="auto" w:after="120"/>
      </w:pPr>
      <w:r>
        <w:t>Contingency: Acceleration of external hiring plan</w:t>
      </w:r>
    </w:p>
    <w:p>
      <w:pPr>
        <w:spacing w:line="276" w:lineRule="auto" w:after="120"/>
      </w:pPr>
      <w:r>
        <w:t>Owner: HR Business Partner</w:t>
      </w:r>
    </w:p>
    <w:p>
      <w:pPr>
        <w:spacing w:line="276" w:lineRule="auto" w:after="120"/>
      </w:pPr>
      <w:r>
        <w:t>Status: ACTIVE - Monitor</w:t>
      </w:r>
    </w:p>
    <w:p/>
    <w:p>
      <w:pPr>
        <w:spacing w:line="276" w:lineRule="auto" w:after="120"/>
      </w:pPr>
      <w:r>
        <w:t>RISK ID: RK-003 | Legacy System Data Integrity Issues</w:t>
      </w:r>
    </w:p>
    <w:p>
      <w:pPr>
        <w:spacing w:line="276" w:lineRule="auto" w:after="120"/>
      </w:pPr>
      <w:r>
        <w:t>Probability: 28% | Impact: 4 (High)</w:t>
      </w:r>
    </w:p>
    <w:p>
      <w:pPr>
        <w:spacing w:line="276" w:lineRule="auto" w:after="120"/>
      </w:pPr>
      <w:r>
        <w:t>Risk Score: 3.0/5.0</w:t>
      </w:r>
    </w:p>
    <w:p>
      <w:pPr>
        <w:spacing w:line="276" w:lineRule="auto" w:after="120"/>
      </w:pPr>
      <w:r>
        <w:t>Description: 23-year-old systems may have data quality issues</w:t>
      </w:r>
    </w:p>
    <w:p>
      <w:pPr>
        <w:spacing w:line="276" w:lineRule="auto" w:after="120"/>
      </w:pPr>
      <w:r>
        <w:t>Mitigation: Early data audit, remediation plan</w:t>
      </w:r>
    </w:p>
    <w:p>
      <w:pPr>
        <w:spacing w:line="276" w:lineRule="auto" w:after="120"/>
      </w:pPr>
      <w:r>
        <w:t>Contingency: Extended parallel run period</w:t>
      </w:r>
    </w:p>
    <w:p>
      <w:pPr>
        <w:spacing w:line="276" w:lineRule="auto" w:after="120"/>
      </w:pPr>
      <w:r>
        <w:t>Owner: Data Lead</w:t>
      </w:r>
    </w:p>
    <w:p>
      <w:pPr>
        <w:spacing w:line="276" w:lineRule="auto" w:after="120"/>
      </w:pPr>
      <w:r>
        <w:t>Status: ACTIVE - Monitoring Started</w:t>
      </w:r>
    </w:p>
    <w:p/>
    <w:p>
      <w:pPr>
        <w:spacing w:line="276" w:lineRule="auto" w:after="120"/>
      </w:pPr>
      <w:r>
        <w:t>RISK ID: RK-004 | Budget Overrun</w:t>
      </w:r>
    </w:p>
    <w:p>
      <w:pPr>
        <w:spacing w:line="276" w:lineRule="auto" w:after="120"/>
      </w:pPr>
      <w:r>
        <w:t>Probability: 19% | Impact: 3 (Medium)</w:t>
      </w:r>
    </w:p>
    <w:p>
      <w:pPr>
        <w:spacing w:line="276" w:lineRule="auto" w:after="120"/>
      </w:pPr>
      <w:r>
        <w:t>Risk Score: 2.1/5.0</w:t>
      </w:r>
    </w:p>
    <w:p>
      <w:pPr>
        <w:spacing w:line="276" w:lineRule="auto" w:after="120"/>
      </w:pPr>
      <w:r>
        <w:t>Description: Scope creep or unforeseen technical complexity</w:t>
      </w:r>
    </w:p>
    <w:p>
      <w:pPr>
        <w:spacing w:line="276" w:lineRule="auto" w:after="120"/>
      </w:pPr>
      <w:r>
        <w:t>Mitigation: Strict change control, fixed-price vendor contracts</w:t>
      </w:r>
    </w:p>
    <w:p>
      <w:pPr>
        <w:spacing w:line="276" w:lineRule="auto" w:after="120"/>
      </w:pPr>
      <w:r>
        <w:t>Contingency: $412K contingency reserve (5% of budget)</w:t>
      </w:r>
    </w:p>
    <w:p>
      <w:pPr>
        <w:spacing w:line="276" w:lineRule="auto" w:after="120"/>
      </w:pPr>
      <w:r>
        <w:t>Owner: Finance Lead</w:t>
      </w:r>
    </w:p>
    <w:p>
      <w:pPr>
        <w:spacing w:line="276" w:lineRule="auto" w:after="120"/>
      </w:pPr>
      <w:r>
        <w:t>Status: ACTIVE - Monthly review</w:t>
      </w:r>
    </w:p>
    <w:p/>
    <w:p>
      <w:pPr>
        <w:spacing w:line="276" w:lineRule="auto" w:after="120"/>
      </w:pPr>
      <w:r>
        <w:t>RISK ID: RK-005 | Knowledge Loss Post-Project</w:t>
      </w:r>
    </w:p>
    <w:p>
      <w:pPr>
        <w:spacing w:line="276" w:lineRule="auto" w:after="120"/>
      </w:pPr>
      <w:r>
        <w:t>Probability: 31% | Impact: 3 (Medium)</w:t>
      </w:r>
    </w:p>
    <w:p>
      <w:pPr>
        <w:spacing w:line="276" w:lineRule="auto" w:after="120"/>
      </w:pPr>
      <w:r>
        <w:t>Risk Score: 2.3/5.0</w:t>
      </w:r>
    </w:p>
    <w:p>
      <w:pPr>
        <w:spacing w:line="276" w:lineRule="auto" w:after="120"/>
      </w:pPr>
      <w:r>
        <w:t>Description: Consulting team knowledge not transferred to internal staff</w:t>
      </w:r>
    </w:p>
    <w:p>
      <w:pPr>
        <w:spacing w:line="276" w:lineRule="auto" w:after="120"/>
      </w:pPr>
      <w:r>
        <w:t>Mitigation: Documentation plan, knowledge transfer sessions</w:t>
      </w:r>
    </w:p>
    <w:p>
      <w:pPr>
        <w:spacing w:line="276" w:lineRule="auto" w:after="120"/>
      </w:pPr>
      <w:r>
        <w:t>Contingency: Extended post-go-live support contract</w:t>
      </w:r>
    </w:p>
    <w:p>
      <w:pPr>
        <w:spacing w:line="276" w:lineRule="auto" w:after="120"/>
      </w:pPr>
      <w:r>
        <w:t>Owner: Change Manager</w:t>
      </w:r>
    </w:p>
    <w:p>
      <w:pPr>
        <w:spacing w:line="276" w:lineRule="auto" w:after="120"/>
      </w:pPr>
      <w:r>
        <w:t>Status: ACTIVE - Training plan in place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