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2"/>
        </w:rPr>
        <w:t>Trade Show ROI Analysis</w:t>
      </w:r>
    </w:p>
    <w:p>
      <w:pPr/>
      <w:r>
        <w:t>Generated: 2026-02-20 13:28:17</w:t>
      </w:r>
    </w:p>
    <w:p/>
    <w:p>
      <w:pPr>
        <w:spacing w:line="276" w:lineRule="auto"/>
      </w:pPr>
      <w:r>
        <w:t>Social Media Calendar - February 2025: Instagram strategy: 4 posts weekly, 15K follower target. LinkedIn strategy: Daily thought leadership posts, executive engagement. Twitter/X: 3 posts daily focusing on industry news. TikTok pilot: 2 videos weekly to test Gen Z audience. Analytics tracked in HubSpot (login: marketing.team@company.com, password protected).</w:t>
      </w:r>
    </w:p>
    <w:p>
      <w:pPr>
        <w:spacing w:line="276" w:lineRule="auto"/>
      </w:pPr>
      <w:r>
        <w:t>Trade Show ROI Analysis - Tech Summit 2025: Booth cost: $45K (design, logistics, staffing). Lead generation: 384 qualified leads (Cost per lead: $117). Follow-up meetings scheduled: 52 (Cost per meeting: $865). Estimated deal value from trade show: $2.1M (ROI: 46:1). Top performing collateral: Product brochure (240 requested), Demo video (188 views).</w:t>
      </w:r>
    </w:p>
    <w:p>
      <w:pPr>
        <w:spacing w:line="276" w:lineRule="auto"/>
      </w:pPr>
      <w:r>
        <w:t>Website Analytics Summary: Monthly unique visitors: 487K (up 23% YoY). Pages/session: 3.2 (up from 2.8). Bounce rate: 42% (target: &lt;40%). Top landing pages: Product demo (18% of traffic), Pricing (15%), Case studies (12%). Traffic sources: Organic 58%, Direct 22%, Paid 15%, Referral 5%. Conversion funnel efficiency: 2.3% of visitors convert to leads.</w:t>
      </w:r>
    </w:p>
    <w:p>
      <w:pPr>
        <w:spacing w:line="276" w:lineRule="auto"/>
      </w:pPr>
      <w:r>
        <w:t>Brand Guidelines Update: Logo usage, color palette (Primary: #0078D4, Secondary: #50E6FF), typography standards (Montserrat for headlines, Open Sans for body). Brand voice: Professional, innovative, customer-centric. All marketing materials must comply. Design template files available on shared drive (OneDrive folder: Marketing/Brand_Assets).</w:t>
      </w:r>
    </w:p>
    <w:p>
      <w:pPr>
        <w:spacing w:line="276" w:lineRule="auto"/>
      </w:pPr>
      <w:r>
        <w:t>Q1 Marketing Campaign: "Accelerate Your Business" theme targeting mid-market companies. Budget allocation: Digital ads 45% ($180K), Content marketing 25% ($100K), Events 20% ($80K), PR 10% ($40K). Primary channels: LinkedIn, Google Ads, Industry publications. Expected reach: 2.5M impressions, conversion target: 2.3% (58,000 leads).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