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Vendor Performance Review</w:t>
      </w:r>
    </w:p>
    <w:p>
      <w:pPr/>
      <w:r>
        <w:t>Generated: 2026-02-20 13:28:17</w:t>
      </w:r>
    </w:p>
    <w:p/>
    <w:p>
      <w:pPr>
        <w:spacing w:line="276" w:lineRule="auto"/>
      </w:pPr>
      <w:r>
        <w:t>Business Continuity Plan v3.0: Recovery Time Objective (RTO): 4 hours for critical systems. Recovery Point Objective (RPO): 15 minutes (continuous backup). Disaster scenarios: Data center outage (mitigation: multi-region deployment), Key person loss (mitigation: cross-training program), Ransomware (mitigation: air-gapped backups). Annual disaster recovery drill: Scheduled for Q2 2025.</w:t>
      </w:r>
    </w:p>
    <w:p>
      <w:pPr>
        <w:spacing w:line="276" w:lineRule="auto"/>
      </w:pPr>
      <w:r>
        <w:t>OPERATIONAL METRICS - February 2025: Service uptime: 99.94% (target: 99.9%). Critical incidents: 1 (resolved in 2.3 hours). Major incidents: 3 (avg resolution time: 18 hours). MTTR (Mean Time to Repair): 1.2 hours. Customer satisfaction with support: 4.6/5.0. Ticket backlog: 42 tickets (target: &lt;50). Team overtime hours: 28 hours (within budget).</w:t>
      </w:r>
    </w:p>
    <w:p>
      <w:pPr>
        <w:spacing w:line="276" w:lineRule="auto"/>
      </w:pPr>
      <w:r>
        <w:t>Risk Assessment Matrix: Strategic risks: Competitive market pressure (likelihood: High, impact: High, mitigation: Product innovation). Financial risks: Dependent on key customer ($2.1M revenue concentration, likelihood: Medium, mitigation: Diversify customer base). Operational risks: Data center dependency (likelihood: Medium, mitigation: redundancy plan). Regulatory: GDPR compliance gaps (likelihood: Low, mitigation: Legal team action plan).</w:t>
      </w:r>
    </w:p>
    <w:p>
      <w:pPr>
        <w:spacing w:line="276" w:lineRule="auto"/>
      </w:pPr>
      <w:r>
        <w:t>Vendor Performance Scorecard (Feb 2025): AWS (Infrastructure): Uptime 99.99%, support ticket resolution &lt;30min. Avg score: 9.2/10. Slack (Communications): Uptime 99.98%, feature updates on track. Avg score: 8.8/10. Datadog (Monitoring): Integration reliability 99.92%, analytics performance good. Avg score: 8.6/10. Recommendations: Continue AWS partnership, consider Slack price renegotiation.</w:t>
      </w:r>
    </w:p>
    <w:p>
      <w:pPr>
        <w:spacing w:line="276" w:lineRule="auto"/>
      </w:pPr>
      <w:r>
        <w:t>Standard Operating Procedures v5.1 - Incident Management: Severity levels: Critical (P1) &lt;1hr response, High (P2) &lt;4hr response, Medium (P3) &lt;24hr response. On-call schedule: Rotation of 8 engineers (1 week at a time). Escalation policy: Any incident unresolved in 2 hours escalates to manager. Post-incident reviews: Mandatory within 48 hours of incident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