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Arial" w:cs="Arial" w:eastAsia="Arial" w:hAnsi="Arial"/>
          <w:b/>
          <w:bCs/>
          <w:color w:val="1E2761"/>
          <w:spacing w:val="60"/>
          <w:sz w:val="16"/>
          <w:szCs w:val="16"/>
        </w:rPr>
        <w:t xml:space="preserve">STRATEGY COMPANION</w:t>
      </w:r>
    </w:p>
    <w:p>
      <w:pPr>
        <w:spacing w:after="80" w:before="60" w:line="320"/>
      </w:pPr>
      <w:r>
        <w:rPr>
          <w:rFonts w:ascii="Arial" w:cs="Arial" w:eastAsia="Arial" w:hAnsi="Arial"/>
          <w:b/>
          <w:bCs/>
          <w:color w:val="111111"/>
          <w:sz w:val="36"/>
          <w:szCs w:val="36"/>
        </w:rPr>
        <w:t xml:space="preserve">Operating Doctrine: Persistent Edge, Quality Loops, and Hybrid Intelligence</w:t>
      </w:r>
    </w:p>
    <w:p>
      <w:pPr>
        <w:spacing w:after="200" w:before="0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A companion memo distilling the last strategy turns into an execution doctrine. Use this as the written backup to the 18-slide deck.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1E2761" w:sz="18"/>
              <w:left w:val="none" w:color="FFFFFF" w:sz="0"/>
              <w:bottom w:val="single" w:color="1E2761" w:sz="4"/>
              <w:right w:val="none" w:color="FFFFFF" w:sz="0"/>
            </w:tcBorders>
            <w:shd w:fill="EEF1F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line="300"/>
            </w:pPr>
            <w:r>
              <w:rPr>
                <w:rFonts w:ascii="Arial" w:cs="Arial" w:eastAsia="Arial" w:hAnsi="Arial"/>
                <w:b/>
                <w:bCs/>
                <w:color w:val="111111"/>
                <w:sz w:val="22"/>
                <w:szCs w:val="22"/>
              </w:rPr>
              <w:t xml:space="preserve">Master the scarce layer. Borrow model capacity. Own problem shape. Compile discoveries back into the engine.</w:t>
            </w:r>
          </w:p>
        </w:tc>
      </w:tr>
    </w:tbl>
    <w:p>
      <w:pPr>
        <w:spacing w:after="120" w:before="120"/>
      </w:pPr>
      <w:r>
        <w:rPr>
          <w:sz w:val="20"/>
          <w:szCs w:val="20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 The doctrine in one page</w:t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Do not fight every hard model battle. </w:t>
      </w:r>
      <w:r>
        <w:rPr>
          <w:rFonts w:ascii="Arial" w:cs="Arial" w:eastAsia="Arial" w:hAnsi="Arial"/>
          <w:sz w:val="20"/>
          <w:szCs w:val="20"/>
        </w:rPr>
        <w:t xml:space="preserve">Foundation models, open GNNs, hosted training, synthetic-data tools, and interpretability tooling will keep improving. Exploit them aggressively.</w:t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Master the boundary conditions. </w:t>
      </w:r>
      <w:r>
        <w:rPr>
          <w:rFonts w:ascii="Arial" w:cs="Arial" w:eastAsia="Arial" w:hAnsi="Arial"/>
          <w:sz w:val="20"/>
          <w:szCs w:val="20"/>
        </w:rPr>
        <w:t xml:space="preserve">Vector fidelity, persistent graph state, supervector formation, validator residuals, workflow exhaust, and rule compilation are Augrade-specific and compounding.</w:t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Use GNNs where locality is real. </w:t>
      </w:r>
      <w:r>
        <w:rPr>
          <w:rFonts w:ascii="Arial" w:cs="Arial" w:eastAsia="Arial" w:hAnsi="Arial"/>
          <w:sz w:val="20"/>
          <w:szCs w:val="20"/>
        </w:rPr>
        <w:t xml:space="preserve">Message passing is a local relational mechanism, not an infinite-context solution. If sparse features win, ship sparse features. If GNNs help a residual slice, use them there.</w:t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Treat the human loop as product, not tax. </w:t>
      </w:r>
      <w:r>
        <w:rPr>
          <w:rFonts w:ascii="Arial" w:cs="Arial" w:eastAsia="Arial" w:hAnsi="Arial"/>
          <w:sz w:val="20"/>
          <w:szCs w:val="20"/>
        </w:rPr>
        <w:t xml:space="preserve">Operator review is where expertise becomes labels, memory, validator policy, rule candidates, and customer trust.</w:t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Aim upward in autonomy. </w:t>
      </w:r>
      <w:r>
        <w:rPr>
          <w:rFonts w:ascii="Arial" w:cs="Arial" w:eastAsia="Arial" w:hAnsi="Arial"/>
          <w:sz w:val="20"/>
          <w:szCs w:val="20"/>
        </w:rPr>
        <w:t xml:space="preserve">The holy grail is not “no human.” It is moving human attention from primitive cleanup to objective review while the system loops below them inside verifier boundaries.</w:t>
      </w:r>
    </w:p>
    <w:p>
      <w:pPr>
        <w:spacing w:after="120" w:before="120"/>
      </w:pPr>
      <w:r>
        <w:rPr>
          <w:sz w:val="20"/>
          <w:szCs w:val="20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 Master vs. borrow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8"/>
        <w:gridCol w:w="3024"/>
        <w:gridCol w:w="2016"/>
        <w:gridCol w:w="2822"/>
      </w:tblGrid>
      <w:tr>
        <w:trPr>
          <w:tblHeader/>
        </w:trPr>
        <w:tc>
          <w:tcPr>
            <w:tcW w:type="dxa" w:w="22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Master in-house</w:t>
            </w:r>
          </w:p>
        </w:tc>
        <w:tc>
          <w:tcPr>
            <w:tcW w:type="dxa" w:w="302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 it matters</w:t>
            </w:r>
          </w:p>
        </w:tc>
        <w:tc>
          <w:tcPr>
            <w:tcW w:type="dxa" w:w="201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Borrow aggressively</w:t>
            </w:r>
          </w:p>
        </w:tc>
        <w:tc>
          <w:tcPr>
            <w:tcW w:type="dxa" w:w="28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 to exploit it</w:t>
            </w:r>
          </w:p>
        </w:tc>
      </w:tr>
      <w:tr>
        <w:trPr>
          <w:tblHeader w:val="false"/>
        </w:trPr>
        <w:tc>
          <w:tcPr>
            <w:tcW w:type="dxa" w:w="22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DWG/DXF/vector fidelity</w:t>
            </w:r>
          </w:p>
        </w:tc>
        <w:tc>
          <w:tcPr>
            <w:tcW w:type="dxa" w:w="302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Bad conversion creates fake ML problems.</w:t>
            </w:r>
          </w:p>
        </w:tc>
        <w:tc>
          <w:tcPr>
            <w:tcW w:type="dxa" w:w="201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Foundation models</w:t>
            </w:r>
          </w:p>
        </w:tc>
        <w:tc>
          <w:tcPr>
            <w:tcW w:type="dxa" w:w="28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Research, coding, broad context, explanation, experiment design.</w:t>
            </w:r>
          </w:p>
        </w:tc>
      </w:tr>
      <w:tr>
        <w:trPr>
          <w:tblHeader w:val="false"/>
        </w:trPr>
        <w:tc>
          <w:tcPr>
            <w:tcW w:type="dxa" w:w="22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Stable object identity</w:t>
            </w:r>
          </w:p>
        </w:tc>
        <w:tc>
          <w:tcPr>
            <w:tcW w:type="dxa" w:w="302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Needed for memory, cache invalidation, edit history, and trust.</w:t>
            </w:r>
          </w:p>
        </w:tc>
        <w:tc>
          <w:tcPr>
            <w:tcW w:type="dxa" w:w="201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Open GNN architectures</w:t>
            </w:r>
          </w:p>
        </w:tc>
        <w:tc>
          <w:tcPr>
            <w:tcW w:type="dxa" w:w="28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GraphSAGE/GATv2/PNA/HGT as replaceable baselines.</w:t>
            </w:r>
          </w:p>
        </w:tc>
      </w:tr>
      <w:tr>
        <w:trPr>
          <w:tblHeader w:val="false"/>
        </w:trPr>
        <w:tc>
          <w:tcPr>
            <w:tcW w:type="dxa" w:w="22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Supervectors / object formation</w:t>
            </w:r>
          </w:p>
        </w:tc>
        <w:tc>
          <w:tcPr>
            <w:tcW w:type="dxa" w:w="302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Where raw geometry becomes product state.</w:t>
            </w:r>
          </w:p>
        </w:tc>
        <w:tc>
          <w:tcPr>
            <w:tcW w:type="dxa" w:w="201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Hosted RL/training harnesses</w:t>
            </w:r>
          </w:p>
        </w:tc>
        <w:tc>
          <w:tcPr>
            <w:tcW w:type="dxa" w:w="28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Use for verifier-environment search once typed actions exist.</w:t>
            </w:r>
          </w:p>
        </w:tc>
      </w:tr>
      <w:tr>
        <w:trPr>
          <w:tblHeader w:val="false"/>
        </w:trPr>
        <w:tc>
          <w:tcPr>
            <w:tcW w:type="dxa" w:w="22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Validator boundary</w:t>
            </w:r>
          </w:p>
        </w:tc>
        <w:tc>
          <w:tcPr>
            <w:tcW w:type="dxa" w:w="302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Truth, false-merge risk, policy, and auto-apply live here.</w:t>
            </w:r>
          </w:p>
        </w:tc>
        <w:tc>
          <w:tcPr>
            <w:tcW w:type="dxa" w:w="201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Embedding methods</w:t>
            </w:r>
          </w:p>
        </w:tc>
        <w:tc>
          <w:tcPr>
            <w:tcW w:type="dxa" w:w="28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Matryoshka, prototype memory, contrastive retrieval.</w:t>
            </w:r>
          </w:p>
        </w:tc>
      </w:tr>
      <w:tr>
        <w:trPr>
          <w:tblHeader w:val="false"/>
        </w:trPr>
        <w:tc>
          <w:tcPr>
            <w:tcW w:type="dxa" w:w="22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Workflow exhaust</w:t>
            </w:r>
          </w:p>
        </w:tc>
        <w:tc>
          <w:tcPr>
            <w:tcW w:type="dxa" w:w="302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Accept/reject/fix traces compound with use.</w:t>
            </w:r>
          </w:p>
        </w:tc>
        <w:tc>
          <w:tcPr>
            <w:tcW w:type="dxa" w:w="201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Mech-interp tools</w:t>
            </w:r>
          </w:p>
        </w:tc>
        <w:tc>
          <w:tcPr>
            <w:tcW w:type="dxa" w:w="28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Mine motifs and rule candidates; do not make it a standalone science project.</w:t>
            </w:r>
          </w:p>
        </w:tc>
      </w:tr>
      <w:tr>
        <w:trPr>
          <w:tblHeader w:val="false"/>
        </w:trPr>
        <w:tc>
          <w:tcPr>
            <w:tcW w:type="dxa" w:w="22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Rule compiler loop</w:t>
            </w:r>
          </w:p>
        </w:tc>
        <w:tc>
          <w:tcPr>
            <w:tcW w:type="dxa" w:w="302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Learned residuals become deterministic capabilities.</w:t>
            </w:r>
          </w:p>
        </w:tc>
        <w:tc>
          <w:tcPr>
            <w:tcW w:type="dxa" w:w="201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Synthetic data tools</w:t>
            </w:r>
          </w:p>
        </w:tc>
        <w:tc>
          <w:tcPr>
            <w:tcW w:type="dxa" w:w="2822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Rewrite orbits, corrupted variants, failure replay, ablation sweeps.</w:t>
            </w:r>
          </w:p>
        </w:tc>
      </w:tr>
    </w:tbl>
    <w:p>
      <w:pPr>
        <w:spacing w:after="120" w:before="120"/>
      </w:pPr>
      <w:r>
        <w:rPr>
          <w:sz w:val="20"/>
          <w:szCs w:val="20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 Pessimist route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1E2761" w:sz="18"/>
              <w:left w:val="none" w:color="FFFFFF" w:sz="0"/>
              <w:bottom w:val="single" w:color="1E2761" w:sz="4"/>
              <w:right w:val="none" w:color="FFFFFF" w:sz="0"/>
            </w:tcBorders>
            <w:shd w:fill="EEF1F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line="300"/>
            </w:pPr>
            <w:r>
              <w:rPr>
                <w:rFonts w:ascii="Arial" w:cs="Arial" w:eastAsia="Arial" w:hAnsi="Arial"/>
                <w:b/>
                <w:bCs/>
                <w:color w:val="111111"/>
                <w:sz w:val="22"/>
                <w:szCs w:val="22"/>
              </w:rPr>
              <w:t xml:space="preserve">If DWG conversion is brittle, annotations are ambiguous, sparse features are strong, rewrite invariance is partial, and generic AI commoditizes modeling, the substrate still wins.</w:t>
            </w: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26"/>
        <w:gridCol w:w="6854"/>
      </w:tblGrid>
      <w:tr>
        <w:trPr>
          <w:tblHeader/>
        </w:trPr>
        <w:tc>
          <w:tcPr>
            <w:tcW w:type="dxa" w:w="32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Assume</w:t>
            </w:r>
          </w:p>
        </w:tc>
        <w:tc>
          <w:tcPr>
            <w:tcW w:type="dxa" w:w="685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Then build</w:t>
            </w:r>
          </w:p>
        </w:tc>
      </w:tr>
      <w:tr>
        <w:trPr>
          <w:tblHeader w:val="false"/>
        </w:trPr>
        <w:tc>
          <w:tcPr>
            <w:tcW w:type="dxa" w:w="32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DWG conversion is the tar pit</w:t>
            </w:r>
          </w:p>
        </w:tc>
        <w:tc>
          <w:tcPr>
            <w:tcW w:type="dxa" w:w="685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Conversion fidelity harness, entity inventory, handle/color/text/layout preservation checks, overlay diffs.</w:t>
            </w:r>
          </w:p>
        </w:tc>
      </w:tr>
      <w:tr>
        <w:trPr>
          <w:tblHeader w:val="false"/>
        </w:trPr>
        <w:tc>
          <w:tcPr>
            <w:tcW w:type="dxa" w:w="32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Annotations are ambiguous</w:t>
            </w:r>
          </w:p>
        </w:tc>
        <w:tc>
          <w:tcPr>
            <w:tcW w:type="dxa" w:w="685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Annotation ontology and residual reports before model training.</w:t>
            </w:r>
          </w:p>
        </w:tc>
      </w:tr>
      <w:tr>
        <w:trPr>
          <w:tblHeader w:val="false"/>
        </w:trPr>
        <w:tc>
          <w:tcPr>
            <w:tcW w:type="dxa" w:w="32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Sparse features beat the GNN</w:t>
            </w:r>
          </w:p>
        </w:tc>
        <w:tc>
          <w:tcPr>
            <w:tcW w:type="dxa" w:w="685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Ship sparse calibrated scorer; use GNN only on proven local residuals.</w:t>
            </w:r>
          </w:p>
        </w:tc>
      </w:tr>
      <w:tr>
        <w:trPr>
          <w:tblHeader w:val="false"/>
        </w:trPr>
        <w:tc>
          <w:tcPr>
            <w:tcW w:type="dxa" w:w="32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Rewrite invariance is partial</w:t>
            </w:r>
          </w:p>
        </w:tc>
        <w:tc>
          <w:tcPr>
            <w:tcW w:type="dxa" w:w="685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Report safe/family-conditioned/unsafe rewrites instead of forcing a universal quotient.</w:t>
            </w:r>
          </w:p>
        </w:tc>
      </w:tr>
      <w:tr>
        <w:trPr>
          <w:tblHeader w:val="false"/>
        </w:trPr>
        <w:tc>
          <w:tcPr>
            <w:tcW w:type="dxa" w:w="32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Validators encode policy</w:t>
            </w:r>
          </w:p>
        </w:tc>
        <w:tc>
          <w:tcPr>
            <w:tcW w:type="dxa" w:w="685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Tier validators into geometry, engineering heuristics, jurisdiction/firm policy, and human review.</w:t>
            </w:r>
          </w:p>
        </w:tc>
      </w:tr>
      <w:tr>
        <w:trPr>
          <w:tblHeader w:val="false"/>
        </w:trPr>
        <w:tc>
          <w:tcPr>
            <w:tcW w:type="dxa" w:w="32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SAI commoditizes generic modeling</w:t>
            </w:r>
          </w:p>
        </w:tc>
        <w:tc>
          <w:tcPr>
            <w:tcW w:type="dxa" w:w="685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Own environment, verifier, memory, workflow exhaust, and rule compiler.</w:t>
            </w:r>
          </w:p>
        </w:tc>
      </w:tr>
    </w:tbl>
    <w:p>
      <w:pPr>
        <w:spacing w:after="120" w:before="120"/>
      </w:pPr>
      <w:r>
        <w:rPr>
          <w:sz w:val="20"/>
          <w:szCs w:val="20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 Hybrid reality: GNNs are local machinery</w:t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Frame this against slide 9. </w:t>
      </w:r>
      <w:r>
        <w:rPr>
          <w:rFonts w:ascii="Arial" w:cs="Arial" w:eastAsia="Arial" w:hAnsi="Arial"/>
          <w:sz w:val="20"/>
          <w:szCs w:val="20"/>
        </w:rPr>
        <w:t xml:space="preserve">Slide 9 says local graph updates match edit propagation; foundation-model context handles global semantics; validators decide whether either one is allowed to act. The L-hop neighborhood is the operative scope: a GNN earns its place when the residual we care about is decidable inside a small number of message-passing hops. Anything that requires whole-drawing or whole-project context is not a message-passing problem.</w:t>
      </w:r>
    </w:p>
    <w:p>
      <w:pPr>
        <w:spacing w:after="40" w:before="40"/>
      </w:pPr>
      <w:r>
        <w:rPr>
          <w:sz w:val="20"/>
          <w:szCs w:val="20"/>
        </w:rPr>
        <w:t xml:space="preserve"/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GNNs help when </w:t>
      </w:r>
      <w:r>
        <w:rPr>
          <w:rFonts w:ascii="Arial" w:cs="Arial" w:eastAsia="Arial" w:hAnsi="Arial"/>
          <w:sz w:val="20"/>
          <w:szCs w:val="20"/>
        </w:rPr>
        <w:t xml:space="preserve">relations are local, edge types are meaningful, object identity is stable, validators define the target, and recomputation can stay L-hop local.</w:t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GNNs struggle when </w:t>
      </w:r>
      <w:r>
        <w:rPr>
          <w:rFonts w:ascii="Arial" w:cs="Arial" w:eastAsia="Arial" w:hAnsi="Arial"/>
          <w:sz w:val="20"/>
          <w:szCs w:val="20"/>
        </w:rPr>
        <w:t xml:space="preserve">perception is multimodal, drawing intent is global, annotations are ambiguous, schemas drift, long-range context matters, or graph construction is the bottleneck.</w:t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Foundation models help when </w:t>
      </w:r>
      <w:r>
        <w:rPr>
          <w:rFonts w:ascii="Arial" w:cs="Arial" w:eastAsia="Arial" w:hAnsi="Arial"/>
          <w:sz w:val="20"/>
          <w:szCs w:val="20"/>
        </w:rPr>
        <w:t xml:space="preserve">broad context, generative reasoning, explanation, code/research acceleration, and multimodal interpretation dominate.</w:t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Validators decide when </w:t>
      </w:r>
      <w:r>
        <w:rPr>
          <w:rFonts w:ascii="Arial" w:cs="Arial" w:eastAsia="Arial" w:hAnsi="Arial"/>
          <w:sz w:val="20"/>
          <w:szCs w:val="20"/>
        </w:rPr>
        <w:t xml:space="preserve">truth, geometry, policy, risk, and auto-apply boundaries matter.</w:t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Memory compounds when </w:t>
      </w:r>
      <w:r>
        <w:rPr>
          <w:rFonts w:ascii="Arial" w:cs="Arial" w:eastAsia="Arial" w:hAnsi="Arial"/>
          <w:sz w:val="20"/>
          <w:szCs w:val="20"/>
        </w:rPr>
        <w:t xml:space="preserve">recurring cases, customer conventions, prototypes, and learned motifs are retained across work.</w:t>
      </w:r>
    </w:p>
    <w:p>
      <w:pPr>
        <w:spacing w:after="40" w:before="4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1E2761" w:sz="18"/>
              <w:left w:val="none" w:color="FFFFFF" w:sz="0"/>
              <w:bottom w:val="single" w:color="1E2761" w:sz="4"/>
              <w:right w:val="none" w:color="FFFFFF" w:sz="0"/>
            </w:tcBorders>
            <w:shd w:fill="EEF1F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line="300"/>
            </w:pPr>
            <w:r>
              <w:rPr>
                <w:rFonts w:ascii="Arial" w:cs="Arial" w:eastAsia="Arial" w:hAnsi="Arial"/>
                <w:b/>
                <w:bCs/>
                <w:color w:val="111111"/>
                <w:sz w:val="22"/>
                <w:szCs w:val="22"/>
              </w:rPr>
              <w:t xml:space="preserve">Use GNNs where locality is real (L-hop). Use foundation models where context and generative reasoning dominate. Own the substrate that lets both improve the engine.</w:t>
            </w:r>
          </w:p>
        </w:tc>
      </w:tr>
    </w:tbl>
    <w:p>
      <w:pPr>
        <w:spacing w:after="120" w:before="120"/>
      </w:pPr>
      <w:r>
        <w:rPr>
          <w:sz w:val="20"/>
          <w:szCs w:val="20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 Persistent edge in a world of SAI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26"/>
        <w:gridCol w:w="3427"/>
        <w:gridCol w:w="3326"/>
      </w:tblGrid>
      <w:tr>
        <w:trPr>
          <w:tblHeader/>
        </w:trPr>
        <w:tc>
          <w:tcPr>
            <w:tcW w:type="dxa" w:w="33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Commoditizes</w:t>
            </w:r>
          </w:p>
        </w:tc>
        <w:tc>
          <w:tcPr>
            <w:tcW w:type="dxa" w:w="342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Persists</w:t>
            </w:r>
          </w:p>
        </w:tc>
        <w:tc>
          <w:tcPr>
            <w:tcW w:type="dxa" w:w="33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Compounds</w:t>
            </w:r>
          </w:p>
        </w:tc>
      </w:tr>
      <w:tr>
        <w:trPr>
          <w:tblHeader w:val="false"/>
        </w:trPr>
        <w:tc>
          <w:tcPr>
            <w:tcW w:type="dxa" w:w="33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Code scaffolding; paper search; baseline training; synthetic rewrite generation; eval harness boilerplate; generic planning agents.</w:t>
            </w:r>
          </w:p>
        </w:tc>
        <w:tc>
          <w:tcPr>
            <w:tcW w:type="dxa" w:w="342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Customer drawing history; correction/rejection traces; validator definitions; false-merge policy; code/jurisdiction constraints; per-firm conventions; persistent IDs.</w:t>
            </w:r>
          </w:p>
        </w:tc>
        <w:tc>
          <w:tcPr>
            <w:tcW w:type="dxa" w:w="33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Matryoshka graph embeddings; prototype memory; expert teaching models; discovered supervectors/motifs; rules compiled into engine; verifier environments; calibrated auto-apply policy.</w:t>
            </w: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1E2761" w:sz="18"/>
              <w:left w:val="none" w:color="FFFFFF" w:sz="0"/>
              <w:bottom w:val="single" w:color="1E2761" w:sz="4"/>
              <w:right w:val="none" w:color="FFFFFF" w:sz="0"/>
            </w:tcBorders>
            <w:shd w:fill="EEF1F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line="300"/>
            </w:pPr>
            <w:r>
              <w:rPr>
                <w:rFonts w:ascii="Arial" w:cs="Arial" w:eastAsia="Arial" w:hAnsi="Arial"/>
                <w:b/>
                <w:bCs/>
                <w:color w:val="111111"/>
                <w:sz w:val="22"/>
                <w:szCs w:val="22"/>
              </w:rPr>
              <w:t xml:space="preserve">In SAI conditions, the moat is not intelligence. The moat is the environment, the verifier, the memory, and the trusted edit loop.</w:t>
            </w:r>
          </w:p>
        </w:tc>
      </w:tr>
    </w:tbl>
    <w:p>
      <w:pPr>
        <w:spacing w:after="120" w:before="120"/>
      </w:pPr>
      <w:r>
        <w:rPr>
          <w:sz w:val="20"/>
          <w:szCs w:val="20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6. Quality loops: make review worth doing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1E2761" w:sz="18"/>
              <w:left w:val="none" w:color="FFFFFF" w:sz="0"/>
              <w:bottom w:val="single" w:color="1E2761" w:sz="4"/>
              <w:right w:val="none" w:color="FFFFFF" w:sz="0"/>
            </w:tcBorders>
            <w:shd w:fill="EEF1F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line="300"/>
            </w:pPr>
            <w:r>
              <w:rPr>
                <w:rFonts w:ascii="Arial" w:cs="Arial" w:eastAsia="Arial" w:hAnsi="Arial"/>
                <w:b/>
                <w:bCs/>
                <w:color w:val="111111"/>
                <w:sz w:val="22"/>
                <w:szCs w:val="22"/>
              </w:rPr>
              <w:t xml:space="preserve">The human loop is not a tax. It is the product surface where expertise becomes data.</w:t>
            </w: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27"/>
        <w:gridCol w:w="3326"/>
        <w:gridCol w:w="3326"/>
      </w:tblGrid>
      <w:tr>
        <w:trPr>
          <w:tblHeader/>
        </w:trPr>
        <w:tc>
          <w:tcPr>
            <w:tcW w:type="dxa" w:w="342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Operator sees</w:t>
            </w:r>
          </w:p>
        </w:tc>
        <w:tc>
          <w:tcPr>
            <w:tcW w:type="dxa" w:w="33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System captures</w:t>
            </w:r>
          </w:p>
        </w:tc>
        <w:tc>
          <w:tcPr>
            <w:tcW w:type="dxa" w:w="33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Product improves</w:t>
            </w:r>
          </w:p>
        </w:tc>
      </w:tr>
      <w:tr>
        <w:trPr>
          <w:tblHeader w:val="false"/>
        </w:trPr>
        <w:tc>
          <w:tcPr>
            <w:tcW w:type="dxa" w:w="3427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Before/after overlay; model hypothesis; validator residual; similar past cases; one-click approve/reject/repair; why-it-matters explanation.</w:t>
            </w:r>
          </w:p>
        </w:tc>
        <w:tc>
          <w:tcPr>
            <w:tcW w:type="dxa" w:w="33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Label/preference; correction trace; edit delta; validator before/after; time-to-fix; confidence shift; motif/rule candidate.</w:t>
            </w:r>
          </w:p>
        </w:tc>
        <w:tc>
          <w:tcPr>
            <w:tcW w:type="dxa" w:w="332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Fewer repeated errors; better retrieval; tighter conformal bands; stronger prototype memory; new deterministic rules; safer auto-apply threshold.</w:t>
            </w: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Good loop: </w:t>
      </w:r>
      <w:r>
        <w:rPr>
          <w:rFonts w:ascii="Arial" w:cs="Arial" w:eastAsia="Arial" w:hAnsi="Arial"/>
          <w:sz w:val="20"/>
          <w:szCs w:val="20"/>
        </w:rPr>
        <w:t xml:space="preserve">useful work → correction/approval → validator residual → memory/rule/label update.</w:t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Bad loop: </w:t>
      </w:r>
      <w:r>
        <w:rPr>
          <w:rFonts w:ascii="Arial" w:cs="Arial" w:eastAsia="Arial" w:hAnsi="Arial"/>
          <w:sz w:val="20"/>
          <w:szCs w:val="20"/>
        </w:rPr>
        <w:t xml:space="preserve">abstract labeling → unclear payoff → noisy labels → no system change.</w:t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sz w:val="20"/>
          <w:szCs w:val="20"/>
        </w:rPr>
        <w:t xml:space="preserve">Engagement is an ML systems variable: better DX creates better labels, better labels create better automation, better automation earns more trust.</w:t>
      </w:r>
    </w:p>
    <w:p>
      <w:pPr>
        <w:spacing w:after="120" w:before="120"/>
      </w:pPr>
      <w:r>
        <w:rPr>
          <w:sz w:val="20"/>
          <w:szCs w:val="20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7. From assisted review to objective completion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5040"/>
        <w:gridCol w:w="3024"/>
      </w:tblGrid>
      <w:tr>
        <w:trPr>
          <w:tblHeader/>
        </w:trPr>
        <w:tc>
          <w:tcPr>
            <w:tcW w:type="dxa" w:w="201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Autonomy mode</w:t>
            </w:r>
          </w:p>
        </w:tc>
        <w:tc>
          <w:tcPr>
            <w:tcW w:type="dxa" w:w="504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happens</w:t>
            </w:r>
          </w:p>
        </w:tc>
        <w:tc>
          <w:tcPr>
            <w:tcW w:type="dxa" w:w="302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Human role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Assist</w:t>
            </w:r>
          </w:p>
        </w:tc>
        <w:tc>
          <w:tcPr>
            <w:tcW w:type="dxa" w:w="504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Model suggests one step at a time.</w:t>
            </w:r>
          </w:p>
        </w:tc>
        <w:tc>
          <w:tcPr>
            <w:tcW w:type="dxa" w:w="302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Human decides every step.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Co-pilot</w:t>
            </w:r>
          </w:p>
        </w:tc>
        <w:tc>
          <w:tcPr>
            <w:tcW w:type="dxa" w:w="504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Model batches low-risk edits and review groups.</w:t>
            </w:r>
          </w:p>
        </w:tc>
        <w:tc>
          <w:tcPr>
            <w:tcW w:type="dxa" w:w="302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Human reviews grouped changes.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Verifier loop</w:t>
            </w:r>
          </w:p>
        </w:tc>
        <w:tc>
          <w:tcPr>
            <w:tcW w:type="dxa" w:w="504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Model searches until validators pass or uncertainty/risk threshold is hit.</w:t>
            </w:r>
          </w:p>
        </w:tc>
        <w:tc>
          <w:tcPr>
            <w:tcW w:type="dxa" w:w="302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Human reviews residual summary and exceptions.</w:t>
            </w:r>
          </w:p>
        </w:tc>
      </w:tr>
      <w:tr>
        <w:trPr>
          <w:tblHeader w:val="false"/>
        </w:trPr>
        <w:tc>
          <w:tcPr>
            <w:tcW w:type="dxa" w:w="2016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Objective loop</w:t>
            </w:r>
          </w:p>
        </w:tc>
        <w:tc>
          <w:tcPr>
            <w:tcW w:type="dxa" w:w="5040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Model decomposes goal, edits, verifies, retrieves cases, revises plan, and stops at a risk boundary.</w:t>
            </w:r>
          </w:p>
        </w:tc>
        <w:tc>
          <w:tcPr>
            <w:tcW w:type="dxa" w:w="3024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Human approves higher-order objective and irreversible choices.</w:t>
            </w: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1E2761" w:sz="18"/>
              <w:left w:val="none" w:color="FFFFFF" w:sz="0"/>
              <w:bottom w:val="single" w:color="1E2761" w:sz="4"/>
              <w:right w:val="none" w:color="FFFFFF" w:sz="0"/>
            </w:tcBorders>
            <w:shd w:fill="EEF1F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line="300"/>
            </w:pPr>
            <w:r>
              <w:rPr>
                <w:rFonts w:ascii="Arial" w:cs="Arial" w:eastAsia="Arial" w:hAnsi="Arial"/>
                <w:b/>
                <w:bCs/>
                <w:color w:val="111111"/>
                <w:sz w:val="22"/>
                <w:szCs w:val="22"/>
              </w:rPr>
              <w:t xml:space="preserve">The holy grail is not replacing the expert; it is moving the expert up the abstraction ladder while the system loops below them.</w:t>
            </w:r>
          </w:p>
        </w:tc>
      </w:tr>
    </w:tbl>
    <w:p>
      <w:pPr>
        <w:spacing w:after="120" w:before="120"/>
      </w:pPr>
      <w:r>
        <w:rPr>
          <w:sz w:val="20"/>
          <w:szCs w:val="20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8. Dictionary → geometry → compiler</w:t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Concept dictionary: </w:t>
      </w:r>
      <w:r>
        <w:rPr>
          <w:rFonts w:ascii="Arial" w:cs="Arial" w:eastAsia="Arial" w:hAnsi="Arial"/>
          <w:sz w:val="20"/>
          <w:szCs w:val="20"/>
        </w:rPr>
        <w:t xml:space="preserve">wall, hatch, door, label, shaft, dimension.</w:t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Representation geometry: </w:t>
      </w:r>
      <w:r>
        <w:rPr>
          <w:rFonts w:ascii="Arial" w:cs="Arial" w:eastAsia="Arial" w:hAnsi="Arial"/>
          <w:sz w:val="20"/>
          <w:szCs w:val="20"/>
        </w:rPr>
        <w:t xml:space="preserve">rewrite orbits, validator residual directions, edit-acceptance manifolds, motif neighborhoods, customer convention basins.</w:t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Compiler loop: </w:t>
      </w:r>
      <w:r>
        <w:rPr>
          <w:rFonts w:ascii="Arial" w:cs="Arial" w:eastAsia="Arial" w:hAnsi="Arial"/>
          <w:sz w:val="20"/>
          <w:szCs w:val="20"/>
        </w:rPr>
        <w:t xml:space="preserve">the model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discovers </w:t>
      </w:r>
      <w:r>
        <w:rPr>
          <w:rFonts w:ascii="Arial" w:cs="Arial" w:eastAsia="Arial" w:hAnsi="Arial"/>
          <w:sz w:val="20"/>
          <w:szCs w:val="20"/>
        </w:rPr>
        <w:t xml:space="preserve">geometry; probes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inspect </w:t>
      </w:r>
      <w:r>
        <w:rPr>
          <w:rFonts w:ascii="Arial" w:cs="Arial" w:eastAsia="Arial" w:hAnsi="Arial"/>
          <w:sz w:val="20"/>
          <w:szCs w:val="20"/>
        </w:rPr>
        <w:t xml:space="preserve">it; validators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verify </w:t>
      </w:r>
      <w:r>
        <w:rPr>
          <w:rFonts w:ascii="Arial" w:cs="Arial" w:eastAsia="Arial" w:hAnsi="Arial"/>
          <w:sz w:val="20"/>
          <w:szCs w:val="20"/>
        </w:rPr>
        <w:t xml:space="preserve">it; the engine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compiles </w:t>
      </w:r>
      <w:r>
        <w:rPr>
          <w:rFonts w:ascii="Arial" w:cs="Arial" w:eastAsia="Arial" w:hAnsi="Arial"/>
          <w:sz w:val="20"/>
          <w:szCs w:val="20"/>
        </w:rPr>
        <w:t xml:space="preserve">it into a deterministic rule or supervector. Discovers → inspect → verify → compile: one verb per stage, every stage acts on the same artifact.</w:t>
      </w:r>
    </w:p>
    <w:p>
      <w:pPr>
        <w:spacing w:after="40" w:before="4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1E2761" w:sz="18"/>
              <w:left w:val="none" w:color="FFFFFF" w:sz="0"/>
              <w:bottom w:val="single" w:color="1E2761" w:sz="4"/>
              <w:right w:val="none" w:color="FFFFFF" w:sz="0"/>
            </w:tcBorders>
            <w:shd w:fill="EEF1F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line="300"/>
            </w:pPr>
            <w:r>
              <w:rPr>
                <w:rFonts w:ascii="Arial" w:cs="Arial" w:eastAsia="Arial" w:hAnsi="Arial"/>
                <w:b/>
                <w:bCs/>
                <w:color w:val="111111"/>
                <w:sz w:val="22"/>
                <w:szCs w:val="22"/>
              </w:rPr>
              <w:t xml:space="preserve">The product does not need every concept atom. It needs the geometry that makes edits predictable.</w:t>
            </w:r>
          </w:p>
        </w:tc>
      </w:tr>
    </w:tbl>
    <w:p>
      <w:pPr>
        <w:spacing w:after="120" w:before="120"/>
      </w:pPr>
      <w:r>
        <w:rPr>
          <w:sz w:val="20"/>
          <w:szCs w:val="20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9. Metrics that make the loop honest</w:t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Pick four metrics that compose into a single chain, not nine that fight for attention. </w:t>
      </w:r>
      <w:r>
        <w:rPr>
          <w:rFonts w:ascii="Arial" w:cs="Arial" w:eastAsia="Arial" w:hAnsi="Arial"/>
          <w:sz w:val="20"/>
          <w:szCs w:val="20"/>
        </w:rPr>
        <w:t xml:space="preserve">Each link feeds the next: review produces value, value compresses correction work, compressed corrections compile into permanent rules, and compiled rules earn autonomy.</w:t>
      </w:r>
    </w:p>
    <w:p>
      <w:pPr>
        <w:spacing w:after="40" w:before="40"/>
      </w:pPr>
      <w:r>
        <w:rPr>
          <w:sz w:val="20"/>
          <w:szCs w:val="20"/>
        </w:rP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8"/>
        <w:gridCol w:w="2218"/>
        <w:gridCol w:w="5645"/>
      </w:tblGrid>
      <w:tr>
        <w:trPr>
          <w:tblHeader/>
        </w:trPr>
        <w:tc>
          <w:tcPr>
            <w:tcW w:type="dxa" w:w="22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22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Stage in the chain</w:t>
            </w:r>
          </w:p>
        </w:tc>
        <w:tc>
          <w:tcPr>
            <w:tcW w:type="dxa" w:w="56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1E276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actually measures</w:t>
            </w:r>
          </w:p>
        </w:tc>
      </w:tr>
      <w:tr>
        <w:trPr>
          <w:tblHeader w:val="false"/>
        </w:trPr>
        <w:tc>
          <w:tcPr>
            <w:tcW w:type="dxa" w:w="22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Review yield</w:t>
            </w:r>
          </w:p>
        </w:tc>
        <w:tc>
          <w:tcPr>
            <w:tcW w:type="dxa" w:w="22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Input to the loop</w:t>
            </w:r>
          </w:p>
        </w:tc>
        <w:tc>
          <w:tcPr>
            <w:tcW w:type="dxa" w:w="56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Useful labels/preferences per minute of operator time. If this is low, nothing downstream matters.</w:t>
            </w:r>
          </w:p>
        </w:tc>
      </w:tr>
      <w:tr>
        <w:trPr>
          <w:tblHeader w:val="false"/>
        </w:trPr>
        <w:tc>
          <w:tcPr>
            <w:tcW w:type="dxa" w:w="22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Correction compression</w:t>
            </w:r>
          </w:p>
        </w:tc>
        <w:tc>
          <w:tcPr>
            <w:tcW w:type="dxa" w:w="22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Immediate value</w:t>
            </w:r>
          </w:p>
        </w:tc>
        <w:tc>
          <w:tcPr>
            <w:tcW w:type="dxa" w:w="56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Manual edit work avoided per accepted suggestion. Proves the loop is paying back the operator in the same session.</w:t>
            </w:r>
          </w:p>
        </w:tc>
      </w:tr>
      <w:tr>
        <w:trPr>
          <w:tblHeader w:val="false"/>
        </w:trPr>
        <w:tc>
          <w:tcPr>
            <w:tcW w:type="dxa" w:w="22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Rule conversion rate</w:t>
            </w:r>
          </w:p>
        </w:tc>
        <w:tc>
          <w:tcPr>
            <w:tcW w:type="dxa" w:w="22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Compounding output</w:t>
            </w:r>
          </w:p>
        </w:tc>
        <w:tc>
          <w:tcPr>
            <w:tcW w:type="dxa" w:w="56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Fraction of learned motifs promoted into deterministic engine rules. Turns a per-session win into a permanent capability.</w:t>
            </w:r>
          </w:p>
        </w:tc>
      </w:tr>
      <w:tr>
        <w:trPr>
          <w:tblHeader w:val="false"/>
        </w:trPr>
        <w:tc>
          <w:tcPr>
            <w:tcW w:type="dxa" w:w="22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Time-to-trust</w:t>
            </w:r>
          </w:p>
        </w:tc>
        <w:tc>
          <w:tcPr>
            <w:tcW w:type="dxa" w:w="2218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Autonomy outcome</w:t>
            </w:r>
          </w:p>
        </w:tc>
        <w:tc>
          <w:tcPr>
            <w:tcW w:type="dxa" w:w="5645"/>
            <w:tcBorders>
              <w:top w:val="single" w:color="BDBDBD" w:sz="4"/>
              <w:left w:val="single" w:color="BDBDBD" w:sz="4"/>
              <w:bottom w:val="single" w:color="BDBDBD" w:sz="4"/>
              <w:right w:val="single" w:color="BDBDBD" w:sz="4"/>
            </w:tcBorders>
            <w:shd w:fill="F4F6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" w:before="20" w:line="26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20"/>
                <w:szCs w:val="20"/>
              </w:rPr>
              <w:t xml:space="preserve">Interactions before the customer allows a higher autonomy level. The downstream consequence of the first three working.</w:t>
            </w: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sz w:val="20"/>
          <w:szCs w:val="20"/>
        </w:rPr>
        <w:t xml:space="preserve">Everything else (acceptance rate, repeat-error decay, review-band efficiency, residual closure rate, objective completion rate) is a useful diagnostic, not a doctrine metric. Track them per-experiment; do not put them on the dashboard the company steers by.</w:t>
      </w:r>
    </w:p>
    <w:p>
      <w:pPr>
        <w:spacing w:after="120" w:before="120"/>
      </w:pPr>
      <w:r>
        <w:rPr>
          <w:sz w:val="20"/>
          <w:szCs w:val="20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10. Verbal close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1E2761" w:sz="18"/>
              <w:left w:val="none" w:color="FFFFFF" w:sz="0"/>
              <w:bottom w:val="single" w:color="1E2761" w:sz="4"/>
              <w:right w:val="none" w:color="FFFFFF" w:sz="0"/>
            </w:tcBorders>
            <w:shd w:fill="EEF1F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line="300"/>
            </w:pPr>
            <w:r>
              <w:rPr>
                <w:rFonts w:ascii="Arial" w:cs="Arial" w:eastAsia="Arial" w:hAnsi="Arial"/>
                <w:b/>
                <w:bCs/>
                <w:color w:val="111111"/>
                <w:sz w:val="22"/>
                <w:szCs w:val="22"/>
              </w:rPr>
              <w:t xml:space="preserve">We are not trying to build the smartest model in isolation. We are building the environment in which increasingly smart models become useful, trusted, and compounding.</w:t>
            </w:r>
          </w:p>
        </w:tc>
      </w:tr>
    </w:tbl>
    <w:p>
      <w:pPr>
        <w:spacing w:after="60" w:before="60"/>
      </w:pPr>
      <w:r>
        <w:rPr>
          <w:sz w:val="20"/>
          <w:szCs w:val="20"/>
        </w:rPr>
        <w:t xml:space="preserve"/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sz w:val="20"/>
          <w:szCs w:val="20"/>
        </w:rPr>
        <w:t xml:space="preserve">Borrow model capacity; own problem shape.</w:t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sz w:val="20"/>
          <w:szCs w:val="20"/>
        </w:rPr>
        <w:t xml:space="preserve">The pessimist route is also the moat route.</w:t>
      </w:r>
    </w:p>
    <w:p>
      <w:pPr>
        <w:spacing w:after="60" w:before="60" w:line="280"/>
        <w:jc w:val="left"/>
      </w:pPr>
      <w:r>
        <w:rPr>
          <w:rFonts w:ascii="Arial" w:cs="Arial" w:eastAsia="Arial" w:hAnsi="Arial"/>
          <w:sz w:val="20"/>
          <w:szCs w:val="20"/>
        </w:rPr>
        <w:t xml:space="preserve">The frame ships. The geometry compounds. The best discoveries compile back into the engine.</w:t>
      </w:r>
    </w:p>
    <w:p>
      <w:pPr>
        <w:spacing w:after="120" w:before="120"/>
      </w:pPr>
      <w:r>
        <w:rPr>
          <w:sz w:val="20"/>
          <w:szCs w:val="20"/>
        </w:rP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Source anchors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Arial" w:cs="Arial" w:eastAsia="Arial" w:hAnsi="Arial"/>
          <w:sz w:val="20"/>
          <w:szCs w:val="20"/>
        </w:rPr>
        <w:t xml:space="preserve">Latest deck: Augrade GNN Strategy(2).pptx, 18 slides after the Quality loops insertion, especially slides 3, 9, 11, 13, 15, and 17.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Arial" w:cs="Arial" w:eastAsia="Arial" w:hAnsi="Arial"/>
          <w:sz w:val="20"/>
          <w:szCs w:val="20"/>
        </w:rPr>
        <w:t xml:space="preserve">Recruiter questionnaire: GNN experience, physical-design background, hard-validator boundary, and representation-first framing.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Arial" w:cs="Arial" w:eastAsia="Arial" w:hAnsi="Arial"/>
          <w:sz w:val="20"/>
          <w:szCs w:val="20"/>
        </w:rPr>
        <w:t xml:space="preserve">Goodfire public positioning on neural-network geometry and intentional model design: https://www.goodfire.ai/</w:t>
      </w:r>
    </w:p>
    <w:p>
      <w:pPr>
        <w:pStyle w:val="ListParagraph"/>
        <w:numPr>
          <w:ilvl w:val="0"/>
          <w:numId w:val="2"/>
        </w:numPr>
        <w:spacing w:after="40" w:before="40" w:line="280"/>
      </w:pPr>
      <w:r>
        <w:rPr>
          <w:rFonts w:ascii="Arial" w:cs="Arial" w:eastAsia="Arial" w:hAnsi="Arial"/>
          <w:sz w:val="20"/>
          <w:szCs w:val="20"/>
        </w:rPr>
        <w:t xml:space="preserve">Prime Intellect Verifiers/Lab docs for environment/harness/reward/rubric framing: https://docs.primeintellect.ai/verifiers/overview and https://docs.primeintellect.ai/hosted-training/what-is-lab</w:t>
      </w:r>
    </w:p>
    <w:p>
      <w:pPr>
        <w:spacing w:after="0" w:before="360"/>
        <w:jc w:val="left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Augrade GNN Strategy companion · Operating doctrine and quality-loop memo · v2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111111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11111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2026-05-08T09:13:15.276Z</dcterms:created>
  <dcterms:modified xsi:type="dcterms:W3CDTF">2026-05-08T09:13:15.276Z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