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1E2761"/>
          <w:spacing w:val="60"/>
          <w:sz w:val="16"/>
          <w:szCs w:val="16"/>
        </w:rPr>
        <w:t xml:space="preserve">PAPER SUPPLEMENT</w:t>
      </w:r>
    </w:p>
    <w:p>
      <w:pPr>
        <w:spacing w:after="80" w:before="60" w:line="320"/>
      </w:pPr>
      <w:r>
        <w:rPr>
          <w:rFonts w:ascii="Arial" w:cs="Arial" w:eastAsia="Arial" w:hAnsi="Arial"/>
          <w:b/>
          <w:bCs/>
          <w:color w:val="111111"/>
          <w:sz w:val="36"/>
          <w:szCs w:val="36"/>
        </w:rPr>
        <w:t xml:space="preserve">2027 Publishable Paper Trajectory</w:t>
      </w:r>
    </w:p>
    <w:p>
      <w:pPr>
        <w:spacing w:after="200" w:before="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A companion one-pager-plus for the Augrade GNN Strategy deck. The through-line: publish the substrate, then the invariances, then the discovered supervectors.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1E2761" w:sz="18"/>
              <w:left w:val="none" w:color="FFFFFF" w:sz="0"/>
              <w:bottom w:val="single" w:color="1E2761" w:sz="4"/>
              <w:right w:val="none" w:color="FFFFFF" w:sz="0"/>
            </w:tcBorders>
            <w:shd w:fill="EEF1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line="300"/>
            </w:pPr>
            <w:r>
              <w:rPr>
                <w:rFonts w:ascii="Arial" w:cs="Arial" w:eastAsia="Arial" w:hAnsi="Arial"/>
                <w:b/>
                <w:bCs/>
                <w:color w:val="111111"/>
                <w:sz w:val="22"/>
                <w:szCs w:val="22"/>
              </w:rPr>
              <w:t xml:space="preserve">Publication north star: turn authored CAD into a verifier-backed learning environment where models reduce residual complexity and compile discoveries into persistent mechanisms.</w:t>
            </w:r>
          </w:p>
        </w:tc>
      </w:tr>
    </w:tbl>
    <w:p>
      <w:pPr>
        <w:spacing w:after="120" w:before="120"/>
      </w:pPr>
      <w:r>
        <w:rPr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Sequencing principle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 not lead with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“we trained a CAD GNN.” </w:t>
      </w:r>
      <w:r>
        <w:rPr>
          <w:rFonts w:ascii="Arial" w:cs="Arial" w:eastAsia="Arial" w:hAnsi="Arial"/>
          <w:sz w:val="20"/>
          <w:szCs w:val="20"/>
        </w:rPr>
        <w:t xml:space="preserve">Lead with the system boundary: vector graph state, rewrite stability, validator residuals, workflow memory, and rule compilation.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Publish in the order that de-risks the product. </w:t>
      </w:r>
      <w:r>
        <w:rPr>
          <w:rFonts w:ascii="Arial" w:cs="Arial" w:eastAsia="Arial" w:hAnsi="Arial"/>
          <w:sz w:val="20"/>
          <w:szCs w:val="20"/>
        </w:rPr>
        <w:t xml:space="preserve">Annotation alignment and rewrite benchmarks create the substrate; embeddings and motif discovery create compounding product memory; verifier environments create the agentic loop.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Treat model architecture as replaceable. </w:t>
      </w:r>
      <w:r>
        <w:rPr>
          <w:rFonts w:ascii="Arial" w:cs="Arial" w:eastAsia="Arial" w:hAnsi="Arial"/>
          <w:sz w:val="20"/>
          <w:szCs w:val="20"/>
        </w:rPr>
        <w:t xml:space="preserve">The publishable invariant is the environment and representation geometry, not any single message-passing layer.</w:t>
      </w:r>
    </w:p>
    <w:p>
      <w:pPr>
        <w:spacing w:after="120" w:before="120"/>
      </w:pPr>
      <w:r>
        <w:rPr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What not to publish first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Read this before the ladder. </w:t>
      </w:r>
      <w:r>
        <w:rPr>
          <w:rFonts w:ascii="Arial" w:cs="Arial" w:eastAsia="Arial" w:hAnsi="Arial"/>
          <w:sz w:val="20"/>
          <w:szCs w:val="20"/>
        </w:rPr>
        <w:t xml:space="preserve">The ladder is a sequencing argument, not a checklist of seven papers to ship. The fastest way to waste the substrate is to skip ahead.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Arial" w:cs="Arial" w:eastAsia="Arial" w:hAnsi="Arial"/>
          <w:sz w:val="20"/>
          <w:szCs w:val="20"/>
        </w:rPr>
        <w:t xml:space="preserve">A generic “GNN for CAD classification” paper with static labels and no validator loop.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Arial" w:cs="Arial" w:eastAsia="Arial" w:hAnsi="Arial"/>
          <w:sz w:val="20"/>
          <w:szCs w:val="20"/>
        </w:rPr>
        <w:t xml:space="preserve">A pure architecture paper before sparse relational baselines and rewrite stability tests exist.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Arial" w:cs="Arial" w:eastAsia="Arial" w:hAnsi="Arial"/>
          <w:sz w:val="20"/>
          <w:szCs w:val="20"/>
        </w:rPr>
        <w:t xml:space="preserve">A mechanistic-interpretability paper that names features but does not compile discoveries into engine rules.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Arial" w:cs="Arial" w:eastAsia="Arial" w:hAnsi="Arial"/>
          <w:sz w:val="20"/>
          <w:szCs w:val="20"/>
        </w:rPr>
        <w:t xml:space="preserve">An RL/autoresearch paper before the action grammar and validators are mature enough to define rewards.</w:t>
      </w:r>
    </w:p>
    <w:p>
      <w:pPr>
        <w:spacing w:after="120" w:before="120"/>
      </w:pPr>
      <w:r>
        <w:rPr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The ladder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2722"/>
        <w:gridCol w:w="3629"/>
        <w:gridCol w:w="3226"/>
      </w:tblGrid>
      <w:tr>
        <w:trPr>
          <w:tblHeader/>
        </w:trPr>
        <w:tc>
          <w:tcPr>
            <w:tcW w:type="dxa" w:w="5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7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Paper concept</w:t>
            </w:r>
          </w:p>
        </w:tc>
        <w:tc>
          <w:tcPr>
            <w:tcW w:type="dxa" w:w="362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 it matters</w:t>
            </w:r>
          </w:p>
        </w:tc>
        <w:tc>
          <w:tcPr>
            <w:tcW w:type="dxa" w:w="32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Minimum proof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1</w:t>
            </w:r>
          </w:p>
        </w:tc>
        <w:tc>
          <w:tcPr>
            <w:tcW w:type="dxa" w:w="27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Annotation-to-object correspondence in layer-blind vector CAD graphs</w:t>
            </w:r>
          </w:p>
        </w:tc>
        <w:tc>
          <w:tcPr>
            <w:tcW w:type="dxa" w:w="362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Easiest first. Turns CAD annotations into supervision without pretending every colored entity is a clean label.</w:t>
            </w:r>
          </w:p>
        </w:tc>
        <w:tc>
          <w:tcPr>
            <w:tcW w:type="dxa" w:w="32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Graph export + annotation semantics + drawing-level splits.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2</w:t>
            </w:r>
          </w:p>
        </w:tc>
        <w:tc>
          <w:tcPr>
            <w:tcW w:type="dxa" w:w="27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Rewrite-stable vector graphs for authored CAD</w:t>
            </w:r>
          </w:p>
        </w:tc>
        <w:tc>
          <w:tcPr>
            <w:tcW w:type="dxa" w:w="362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Strongest substrate paper. CAD variation is authored rewrite structure, not random noise.</w:t>
            </w:r>
          </w:p>
        </w:tc>
        <w:tc>
          <w:tcPr>
            <w:tcW w:type="dxa" w:w="32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Rewrite generators + score variance + sparse/GNN/embedding comparison.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3</w:t>
            </w:r>
          </w:p>
        </w:tc>
        <w:tc>
          <w:tcPr>
            <w:tcW w:type="dxa" w:w="27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Matryoshka graph embeddings for interactive CAD verification</w:t>
            </w:r>
          </w:p>
        </w:tc>
        <w:tc>
          <w:tcPr>
            <w:tcW w:type="dxa" w:w="362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Systems/product paper. One representation supports many latency and retrieval budgets.</w:t>
            </w:r>
          </w:p>
        </w:tc>
        <w:tc>
          <w:tcPr>
            <w:tcW w:type="dxa" w:w="32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Nested embeddings for cache, verifier routing, review retrieval, and offline rule mining.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4</w:t>
            </w:r>
          </w:p>
        </w:tc>
        <w:tc>
          <w:tcPr>
            <w:tcW w:type="dxa" w:w="27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Supervector molecules: motif discovery and rule compilation</w:t>
            </w:r>
          </w:p>
        </w:tc>
        <w:tc>
          <w:tcPr>
            <w:tcW w:type="dxa" w:w="362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Most original research contribution. Molecular-GNN analogy for CAD motifs that become engine primitives.</w:t>
            </w:r>
          </w:p>
        </w:tc>
        <w:tc>
          <w:tcPr>
            <w:tcW w:type="dxa" w:w="32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Discover motifs → expert validation → deterministic supervector/rule → measured engine improvement.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5</w:t>
            </w:r>
          </w:p>
        </w:tc>
        <w:tc>
          <w:tcPr>
            <w:tcW w:type="dxa" w:w="27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Engagement-aware verifier loops for CAD automation</w:t>
            </w:r>
          </w:p>
        </w:tc>
        <w:tc>
          <w:tcPr>
            <w:tcW w:type="dxa" w:w="362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Human loop as product surface and training environment.</w:t>
            </w:r>
          </w:p>
        </w:tc>
        <w:tc>
          <w:tcPr>
            <w:tcW w:type="dxa" w:w="32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Compare embedded review vs abstract labels; measure label yield, trust, and residual closure.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6</w:t>
            </w:r>
          </w:p>
        </w:tc>
        <w:tc>
          <w:tcPr>
            <w:tcW w:type="dxa" w:w="27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CAD verifier environments for typed edit repair</w:t>
            </w:r>
          </w:p>
        </w:tc>
        <w:tc>
          <w:tcPr>
            <w:tcW w:type="dxa" w:w="362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Autoresearch / RL paper. Verifiable rewards over graph edit actions.</w:t>
            </w:r>
          </w:p>
        </w:tc>
        <w:tc>
          <w:tcPr>
            <w:tcW w:type="dxa" w:w="32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Environment = drawing graph + action grammar + validators + reward/rubric.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7</w:t>
            </w:r>
          </w:p>
        </w:tc>
        <w:tc>
          <w:tcPr>
            <w:tcW w:type="dxa" w:w="27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Mechanistic interpretation of pretrained CAD graph networks</w:t>
            </w:r>
          </w:p>
        </w:tc>
        <w:tc>
          <w:tcPr>
            <w:tcW w:type="dxa" w:w="362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Frontier thread. Publish only when interpretation compiles into engine improvements.</w:t>
            </w:r>
          </w:p>
        </w:tc>
        <w:tc>
          <w:tcPr>
            <w:tcW w:type="dxa" w:w="32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Latent features/circuits → motif/rule proposal → validator-backed patch.</w:t>
            </w:r>
          </w:p>
        </w:tc>
      </w:tr>
    </w:tbl>
    <w:p>
      <w:pPr>
        <w:spacing w:after="120" w:before="120"/>
      </w:pPr>
      <w:r>
        <w:rPr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Paper 1 — Annotation-to-object correspondence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1E2761" w:sz="18"/>
              <w:left w:val="none" w:color="FFFFFF" w:sz="0"/>
              <w:bottom w:val="single" w:color="1E2761" w:sz="4"/>
              <w:right w:val="none" w:color="FFFFFF" w:sz="0"/>
            </w:tcBorders>
            <w:shd w:fill="EEF1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line="300"/>
            </w:pPr>
            <w:r>
              <w:rPr>
                <w:rFonts w:ascii="Arial" w:cs="Arial" w:eastAsia="Arial" w:hAnsi="Arial"/>
                <w:b/>
                <w:bCs/>
                <w:color w:val="111111"/>
                <w:sz w:val="22"/>
                <w:szCs w:val="22"/>
              </w:rPr>
              <w:t xml:space="preserve">Claim: architectural annotations are supervision, but not clean labels. The first dataset should learn what annotations refer to, not merely what primitives are.</w:t>
            </w: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8"/>
        <w:gridCol w:w="7862"/>
      </w:tblGrid>
      <w:tr>
        <w:trPr>
          <w:tblHeader/>
        </w:trPr>
        <w:tc>
          <w:tcPr>
            <w:tcW w:type="dxa" w:w="22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Axis</w:t>
            </w:r>
          </w:p>
        </w:tc>
        <w:tc>
          <w:tcPr>
            <w:tcW w:type="dxa" w:w="786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Recommended framing</w:t>
            </w:r>
          </w:p>
        </w:tc>
      </w:tr>
      <w:tr>
        <w:trPr>
          <w:tblHeader w:val="false"/>
        </w:trPr>
        <w:tc>
          <w:tcPr>
            <w:tcW w:type="dxa" w:w="22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Task</w:t>
            </w:r>
          </w:p>
        </w:tc>
        <w:tc>
          <w:tcPr>
            <w:tcW w:type="dxa" w:w="786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Map text, tags, leaders, dimensions, colored marks, and room names onto primitive/supervector/face/component targets.</w:t>
            </w:r>
          </w:p>
        </w:tc>
      </w:tr>
      <w:tr>
        <w:trPr>
          <w:tblHeader w:val="false"/>
        </w:trPr>
        <w:tc>
          <w:tcPr>
            <w:tcW w:type="dxa" w:w="22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Model comparison</w:t>
            </w:r>
          </w:p>
        </w:tc>
        <w:tc>
          <w:tcPr>
            <w:tcW w:type="dxa" w:w="786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Geometry-only baseline, metadata ablation, sparse relation features, small GNN only where local ambiguity remains.</w:t>
            </w:r>
          </w:p>
        </w:tc>
      </w:tr>
      <w:tr>
        <w:trPr>
          <w:tblHeader w:val="false"/>
        </w:trPr>
        <w:tc>
          <w:tcPr>
            <w:tcW w:type="dxa" w:w="22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Eval split</w:t>
            </w:r>
          </w:p>
        </w:tc>
        <w:tc>
          <w:tcPr>
            <w:tcW w:type="dxa" w:w="786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Split by drawing or project, never randomly by entity. Random entity splits leak drafter style and repeated symbols.</w:t>
            </w:r>
          </w:p>
        </w:tc>
      </w:tr>
      <w:tr>
        <w:trPr>
          <w:tblHeader w:val="false"/>
        </w:trPr>
        <w:tc>
          <w:tcPr>
            <w:tcW w:type="dxa" w:w="22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Win condition</w:t>
            </w:r>
          </w:p>
        </w:tc>
        <w:tc>
          <w:tcPr>
            <w:tcW w:type="dxa" w:w="786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Recover useful supervision and route ambiguous annotation edges to review with calibrated residuals.</w:t>
            </w:r>
          </w:p>
        </w:tc>
      </w:tr>
      <w:tr>
        <w:trPr>
          <w:tblHeader w:val="false"/>
        </w:trPr>
        <w:tc>
          <w:tcPr>
            <w:tcW w:type="dxa" w:w="22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Fatal risk</w:t>
            </w:r>
          </w:p>
        </w:tc>
        <w:tc>
          <w:tcPr>
            <w:tcW w:type="dxa" w:w="786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Assuming all colored marks are labels. The right output is an annotation ontology plus residual report.</w:t>
            </w:r>
          </w:p>
        </w:tc>
      </w:tr>
    </w:tbl>
    <w:p>
      <w:pPr>
        <w:spacing w:after="120" w:before="120"/>
      </w:pPr>
      <w:r>
        <w:rPr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Paper 2 — Rewrite-stable vector graphs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1E2761" w:sz="18"/>
              <w:left w:val="none" w:color="FFFFFF" w:sz="0"/>
              <w:bottom w:val="single" w:color="1E2761" w:sz="4"/>
              <w:right w:val="none" w:color="FFFFFF" w:sz="0"/>
            </w:tcBorders>
            <w:shd w:fill="EEF1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line="300"/>
            </w:pPr>
            <w:r>
              <w:rPr>
                <w:rFonts w:ascii="Arial" w:cs="Arial" w:eastAsia="Arial" w:hAnsi="Arial"/>
                <w:b/>
                <w:bCs/>
                <w:color w:val="111111"/>
                <w:sz w:val="22"/>
                <w:szCs w:val="22"/>
              </w:rPr>
              <w:t xml:space="preserve">Claim: CAD equivalence is authored and categorical, not a clean Euclidean symmetry. The model should collapse safe rewrite orbits and preserve true semantic boundaries.</w:t>
            </w: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Rewrite set: </w:t>
      </w:r>
      <w:r>
        <w:rPr>
          <w:rFonts w:ascii="Arial" w:cs="Arial" w:eastAsia="Arial" w:hAnsi="Arial"/>
          <w:sz w:val="20"/>
          <w:szCs w:val="20"/>
        </w:rPr>
        <w:t xml:space="preserve">collinear split/merge, carrier swap, snap jitter, schema remap, hatch-outline equivalence.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Metric: </w:t>
      </w:r>
      <w:r>
        <w:rPr>
          <w:rFonts w:ascii="Arial" w:cs="Arial" w:eastAsia="Arial" w:hAnsi="Arial"/>
          <w:sz w:val="20"/>
          <w:szCs w:val="20"/>
        </w:rPr>
        <w:t xml:space="preserve">score variance and embedding drift across rewrite generators by relation type.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Result to seek: </w:t>
      </w:r>
      <w:r>
        <w:rPr>
          <w:rFonts w:ascii="Arial" w:cs="Arial" w:eastAsia="Arial" w:hAnsi="Arial"/>
          <w:sz w:val="20"/>
          <w:szCs w:val="20"/>
        </w:rPr>
        <w:t xml:space="preserve">rewrite-stable models generalize better across drafter/project shifts than models optimized only for static labels.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Negative-result value: </w:t>
      </w:r>
      <w:r>
        <w:rPr>
          <w:rFonts w:ascii="Arial" w:cs="Arial" w:eastAsia="Arial" w:hAnsi="Arial"/>
          <w:sz w:val="20"/>
          <w:szCs w:val="20"/>
        </w:rPr>
        <w:t xml:space="preserve">if a rewrite fails, the system learns that the equivalence is family-conditioned or unsafe.</w:t>
      </w:r>
    </w:p>
    <w:p>
      <w:pPr>
        <w:spacing w:after="120" w:before="120"/>
      </w:pPr>
      <w:r>
        <w:rPr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Paper 3 — Matryoshka graph embeddings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1E2761" w:sz="18"/>
              <w:left w:val="none" w:color="FFFFFF" w:sz="0"/>
              <w:bottom w:val="single" w:color="1E2761" w:sz="4"/>
              <w:right w:val="none" w:color="FFFFFF" w:sz="0"/>
            </w:tcBorders>
            <w:shd w:fill="EEF1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line="300"/>
            </w:pPr>
            <w:r>
              <w:rPr>
                <w:rFonts w:ascii="Arial" w:cs="Arial" w:eastAsia="Arial" w:hAnsi="Arial"/>
                <w:b/>
                <w:bCs/>
                <w:color w:val="111111"/>
                <w:sz w:val="22"/>
                <w:szCs w:val="22"/>
              </w:rPr>
              <w:t xml:space="preserve">Claim: embedding size should be a product knob, not a retraining event.</w:t>
            </w: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4637"/>
        <w:gridCol w:w="3629"/>
      </w:tblGrid>
      <w:tr>
        <w:trPr>
          <w:tblHeader/>
        </w:trPr>
        <w:tc>
          <w:tcPr>
            <w:tcW w:type="dxa" w:w="181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Embedding scale</w:t>
            </w:r>
          </w:p>
        </w:tc>
        <w:tc>
          <w:tcPr>
            <w:tcW w:type="dxa" w:w="463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Product surface</w:t>
            </w:r>
          </w:p>
        </w:tc>
        <w:tc>
          <w:tcPr>
            <w:tcW w:type="dxa" w:w="362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</w:tr>
      <w:tr>
        <w:trPr>
          <w:tblHeader w:val="false"/>
        </w:trPr>
        <w:tc>
          <w:tcPr>
            <w:tcW w:type="dxa" w:w="181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32–64d</w:t>
            </w:r>
          </w:p>
        </w:tc>
        <w:tc>
          <w:tcPr>
            <w:tcW w:type="dxa" w:w="463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Interactive cache invalidation, duplicate retrieval, local edit hints</w:t>
            </w:r>
          </w:p>
        </w:tc>
        <w:tc>
          <w:tcPr>
            <w:tcW w:type="dxa" w:w="362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Latency, cache hit rate, local retrieval precision</w:t>
            </w:r>
          </w:p>
        </w:tc>
      </w:tr>
      <w:tr>
        <w:trPr>
          <w:tblHeader w:val="false"/>
        </w:trPr>
        <w:tc>
          <w:tcPr>
            <w:tcW w:type="dxa" w:w="181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128–256d</w:t>
            </w:r>
          </w:p>
        </w:tc>
        <w:tc>
          <w:tcPr>
            <w:tcW w:type="dxa" w:w="463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Verifier routing, annotation queue triage, prototype memory</w:t>
            </w:r>
          </w:p>
        </w:tc>
        <w:tc>
          <w:tcPr>
            <w:tcW w:type="dxa" w:w="362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Routing accuracy, review yield, calibration</w:t>
            </w:r>
          </w:p>
        </w:tc>
      </w:tr>
      <w:tr>
        <w:trPr>
          <w:tblHeader w:val="false"/>
        </w:trPr>
        <w:tc>
          <w:tcPr>
            <w:tcW w:type="dxa" w:w="181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512d+</w:t>
            </w:r>
          </w:p>
        </w:tc>
        <w:tc>
          <w:tcPr>
            <w:tcW w:type="dxa" w:w="463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Offline failure clustering, cross-project motif discovery, mech-interp probes</w:t>
            </w:r>
          </w:p>
        </w:tc>
        <w:tc>
          <w:tcPr>
            <w:tcW w:type="dxa" w:w="362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Motif purity, rule conversion, cross-project retrieval</w:t>
            </w:r>
          </w:p>
        </w:tc>
      </w:tr>
    </w:tbl>
    <w:p>
      <w:pPr>
        <w:spacing w:after="120" w:before="120"/>
      </w:pPr>
      <w:r>
        <w:rPr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Paper 4 — Supervector molecules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1E2761" w:sz="18"/>
              <w:left w:val="none" w:color="FFFFFF" w:sz="0"/>
              <w:bottom w:val="single" w:color="1E2761" w:sz="4"/>
              <w:right w:val="none" w:color="FFFFFF" w:sz="0"/>
            </w:tcBorders>
            <w:shd w:fill="EEF1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line="300"/>
            </w:pPr>
            <w:r>
              <w:rPr>
                <w:rFonts w:ascii="Arial" w:cs="Arial" w:eastAsia="Arial" w:hAnsi="Arial"/>
                <w:b/>
                <w:bCs/>
                <w:color w:val="111111"/>
                <w:sz w:val="22"/>
                <w:szCs w:val="22"/>
              </w:rPr>
              <w:t xml:space="preserve">Claim: the interesting CAD unit is often not the primitive; it is the reusable motif. The model should discover CAD “molecules” and compile them into engine objects.</w:t>
            </w: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6"/>
        <w:gridCol w:w="6854"/>
      </w:tblGrid>
      <w:tr>
        <w:trPr>
          <w:tblHeader/>
        </w:trPr>
        <w:tc>
          <w:tcPr>
            <w:tcW w:type="dxa" w:w="32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Chemistry analogy</w:t>
            </w:r>
          </w:p>
        </w:tc>
        <w:tc>
          <w:tcPr>
            <w:tcW w:type="dxa" w:w="685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CAD analogue</w:t>
            </w:r>
          </w:p>
        </w:tc>
      </w:tr>
      <w:tr>
        <w:trPr>
          <w:tblHeader w:val="false"/>
        </w:trPr>
        <w:tc>
          <w:tcPr>
            <w:tcW w:type="dxa" w:w="32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Atom</w:t>
            </w:r>
          </w:p>
        </w:tc>
        <w:tc>
          <w:tcPr>
            <w:tcW w:type="dxa" w:w="685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Primitive: line, arc, hatch, text, insert</w:t>
            </w:r>
          </w:p>
        </w:tc>
      </w:tr>
      <w:tr>
        <w:trPr>
          <w:tblHeader w:val="false"/>
        </w:trPr>
        <w:tc>
          <w:tcPr>
            <w:tcW w:type="dxa" w:w="32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Bond</w:t>
            </w:r>
          </w:p>
        </w:tc>
        <w:tc>
          <w:tcPr>
            <w:tcW w:type="dxa" w:w="685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Endpoint, adjacency, containment, label/leader edge</w:t>
            </w:r>
          </w:p>
        </w:tc>
      </w:tr>
      <w:tr>
        <w:trPr>
          <w:tblHeader w:val="false"/>
        </w:trPr>
        <w:tc>
          <w:tcPr>
            <w:tcW w:type="dxa" w:w="32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Functional group</w:t>
            </w:r>
          </w:p>
        </w:tc>
        <w:tc>
          <w:tcPr>
            <w:tcW w:type="dxa" w:w="685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Supervector: hatch-outline wall mass, door-swing/opening/tag, repeated panel cell</w:t>
            </w:r>
          </w:p>
        </w:tc>
      </w:tr>
      <w:tr>
        <w:trPr>
          <w:tblHeader w:val="false"/>
        </w:trPr>
        <w:tc>
          <w:tcPr>
            <w:tcW w:type="dxa" w:w="32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Molecule/scaffold</w:t>
            </w:r>
          </w:p>
        </w:tc>
        <w:tc>
          <w:tcPr>
            <w:tcW w:type="dxa" w:w="685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Room/wall/opening assembly, shaft cluster, repeated symbol family</w:t>
            </w:r>
          </w:p>
        </w:tc>
      </w:tr>
      <w:tr>
        <w:trPr>
          <w:tblHeader w:val="false"/>
        </w:trPr>
        <w:tc>
          <w:tcPr>
            <w:tcW w:type="dxa" w:w="32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Reaction mechanism</w:t>
            </w:r>
          </w:p>
        </w:tc>
        <w:tc>
          <w:tcPr>
            <w:tcW w:type="dxa" w:w="685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Typed edit rule: merge, split, attach, reroute, reassign</w:t>
            </w:r>
          </w:p>
        </w:tc>
      </w:tr>
      <w:tr>
        <w:trPr>
          <w:tblHeader w:val="false"/>
        </w:trPr>
        <w:tc>
          <w:tcPr>
            <w:tcW w:type="dxa" w:w="32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Energy / property</w:t>
            </w:r>
          </w:p>
        </w:tc>
        <w:tc>
          <w:tcPr>
            <w:tcW w:type="dxa" w:w="685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Validator residual, edit acceptance, review time saved</w:t>
            </w:r>
          </w:p>
        </w:tc>
      </w:tr>
    </w:tbl>
    <w:p>
      <w:pPr>
        <w:spacing w:after="120" w:before="120"/>
      </w:pPr>
      <w:r>
        <w:rPr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Paper 5 — Engagement-aware verifier loops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1E2761" w:sz="18"/>
              <w:left w:val="none" w:color="FFFFFF" w:sz="0"/>
              <w:bottom w:val="single" w:color="1E2761" w:sz="4"/>
              <w:right w:val="none" w:color="FFFFFF" w:sz="0"/>
            </w:tcBorders>
            <w:shd w:fill="EEF1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line="300"/>
            </w:pPr>
            <w:r>
              <w:rPr>
                <w:rFonts w:ascii="Arial" w:cs="Arial" w:eastAsia="Arial" w:hAnsi="Arial"/>
                <w:b/>
                <w:bCs/>
                <w:color w:val="111111"/>
                <w:sz w:val="22"/>
                <w:szCs w:val="22"/>
              </w:rPr>
              <w:t xml:space="preserve">Claim: annotation quality is endogenous to product experience. Make review feel like high-leverage design work, not data labeling.</w:t>
            </w: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Venue note. </w:t>
      </w:r>
      <w:r>
        <w:rPr>
          <w:rFonts w:ascii="Arial" w:cs="Arial" w:eastAsia="Arial" w:hAnsi="Arial"/>
          <w:sz w:val="20"/>
          <w:szCs w:val="20"/>
        </w:rPr>
        <w:t xml:space="preserve">This is a systems / product paper, not core ML. Natural homes are AEC venues (CAAD futures, ACADIA, eCAADe), CSCW, and CHI — not NeurIPS or ICML. The contribution is a closed-loop product mechanism (review surface → label/preference → validator residual → memory/rule update), measured on operator yield and trust dynamics rather than on a held-out benchmark. Treat any benchmark-style eval here as supporting evidence, not the headline.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Measure review yield: </w:t>
      </w:r>
      <w:r>
        <w:rPr>
          <w:rFonts w:ascii="Arial" w:cs="Arial" w:eastAsia="Arial" w:hAnsi="Arial"/>
          <w:sz w:val="20"/>
          <w:szCs w:val="20"/>
        </w:rPr>
        <w:t xml:space="preserve">useful labels/preferences per minute of operator time.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Measure correction compression: </w:t>
      </w:r>
      <w:r>
        <w:rPr>
          <w:rFonts w:ascii="Arial" w:cs="Arial" w:eastAsia="Arial" w:hAnsi="Arial"/>
          <w:sz w:val="20"/>
          <w:szCs w:val="20"/>
        </w:rPr>
        <w:t xml:space="preserve">how much manual edit work the suggestion avoided.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Measure repeat-error decay: </w:t>
      </w:r>
      <w:r>
        <w:rPr>
          <w:rFonts w:ascii="Arial" w:cs="Arial" w:eastAsia="Arial" w:hAnsi="Arial"/>
          <w:sz w:val="20"/>
          <w:szCs w:val="20"/>
        </w:rPr>
        <w:t xml:space="preserve">whether a failure cluster shrinks after review.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Measure rule conversion: </w:t>
      </w:r>
      <w:r>
        <w:rPr>
          <w:rFonts w:ascii="Arial" w:cs="Arial" w:eastAsia="Arial" w:hAnsi="Arial"/>
          <w:sz w:val="20"/>
          <w:szCs w:val="20"/>
        </w:rPr>
        <w:t xml:space="preserve">how often learned motifs become deterministic engine rules.</w:t>
      </w:r>
    </w:p>
    <w:p>
      <w:pPr>
        <w:spacing w:after="120" w:before="120"/>
      </w:pPr>
      <w:r>
        <w:rPr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Paper 6 — CAD verifier environments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1E2761" w:sz="18"/>
              <w:left w:val="none" w:color="FFFFFF" w:sz="0"/>
              <w:bottom w:val="single" w:color="1E2761" w:sz="4"/>
              <w:right w:val="none" w:color="FFFFFF" w:sz="0"/>
            </w:tcBorders>
            <w:shd w:fill="EEF1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line="300"/>
            </w:pPr>
            <w:r>
              <w:rPr>
                <w:rFonts w:ascii="Arial" w:cs="Arial" w:eastAsia="Arial" w:hAnsi="Arial"/>
                <w:b/>
                <w:bCs/>
                <w:color w:val="111111"/>
                <w:sz w:val="22"/>
                <w:szCs w:val="22"/>
              </w:rPr>
              <w:t xml:space="preserve">Claim: agentic CAD repair becomes tractable only after state, action, and validators are explicit.</w:t>
            </w: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Environment state: </w:t>
      </w:r>
      <w:r>
        <w:rPr>
          <w:rFonts w:ascii="Arial" w:cs="Arial" w:eastAsia="Arial" w:hAnsi="Arial"/>
          <w:sz w:val="20"/>
          <w:szCs w:val="20"/>
        </w:rPr>
        <w:t xml:space="preserve">drawing graph + protected geometry + workflow context.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Action grammar: </w:t>
      </w:r>
      <w:r>
        <w:rPr>
          <w:rFonts w:ascii="Arial" w:cs="Arial" w:eastAsia="Arial" w:hAnsi="Arial"/>
          <w:sz w:val="20"/>
          <w:szCs w:val="20"/>
        </w:rPr>
        <w:t xml:space="preserve">merge, split, attach, reroute, reassign, resize, repair, delete.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Reward/rubric: </w:t>
      </w:r>
      <w:r>
        <w:rPr>
          <w:rFonts w:ascii="Arial" w:cs="Arial" w:eastAsia="Arial" w:hAnsi="Arial"/>
          <w:sz w:val="20"/>
          <w:szCs w:val="20"/>
        </w:rPr>
        <w:t xml:space="preserve">validator accepts, residual decreases, edit cost is minimal, protected geometry unchanged.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sz w:val="20"/>
          <w:szCs w:val="20"/>
        </w:rPr>
        <w:t xml:space="preserve">Use Prime-style environments for breadth experiments only after validators are mature; do not outsource M1–M3 or M7.</w:t>
      </w:r>
    </w:p>
    <w:p>
      <w:pPr>
        <w:spacing w:after="120" w:before="120"/>
      </w:pPr>
      <w:r>
        <w:rPr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2026–2027 sequencing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2218"/>
        <w:gridCol w:w="3226"/>
        <w:gridCol w:w="3326"/>
      </w:tblGrid>
      <w:tr>
        <w:trPr>
          <w:tblHeader/>
        </w:trPr>
        <w:tc>
          <w:tcPr>
            <w:tcW w:type="dxa" w:w="131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Window</w:t>
            </w:r>
          </w:p>
        </w:tc>
        <w:tc>
          <w:tcPr>
            <w:tcW w:type="dxa" w:w="22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Primary target</w:t>
            </w:r>
          </w:p>
        </w:tc>
        <w:tc>
          <w:tcPr>
            <w:tcW w:type="dxa" w:w="32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Proof artifact</w:t>
            </w:r>
          </w:p>
        </w:tc>
        <w:tc>
          <w:tcPr>
            <w:tcW w:type="dxa" w:w="33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 gate</w:t>
            </w:r>
          </w:p>
        </w:tc>
      </w:tr>
      <w:tr>
        <w:trPr>
          <w:tblHeader w:val="false"/>
        </w:trPr>
        <w:tc>
          <w:tcPr>
            <w:tcW w:type="dxa" w:w="131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2026 Q2–Q3</w:t>
            </w:r>
          </w:p>
        </w:tc>
        <w:tc>
          <w:tcPr>
            <w:tcW w:type="dxa" w:w="22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Substrate + annotation alignment</w:t>
            </w:r>
          </w:p>
        </w:tc>
        <w:tc>
          <w:tcPr>
            <w:tcW w:type="dxa" w:w="32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Graph manifests, annotation residual reports, sparse calibrated baseline</w:t>
            </w:r>
          </w:p>
        </w:tc>
        <w:tc>
          <w:tcPr>
            <w:tcW w:type="dxa" w:w="33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Can we build trusted graph state and review triage without a GNN?</w:t>
            </w:r>
          </w:p>
        </w:tc>
      </w:tr>
      <w:tr>
        <w:trPr>
          <w:tblHeader w:val="false"/>
        </w:trPr>
        <w:tc>
          <w:tcPr>
            <w:tcW w:type="dxa" w:w="131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2026 Q3–Q4</w:t>
            </w:r>
          </w:p>
        </w:tc>
        <w:tc>
          <w:tcPr>
            <w:tcW w:type="dxa" w:w="22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Rewrite benchmark</w:t>
            </w:r>
          </w:p>
        </w:tc>
        <w:tc>
          <w:tcPr>
            <w:tcW w:type="dxa" w:w="32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Rewrite generators + stability report + cross-drawing split</w:t>
            </w:r>
          </w:p>
        </w:tc>
        <w:tc>
          <w:tcPr>
            <w:tcW w:type="dxa" w:w="33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Which rewrite orbits are safe, family-conditioned, or unsafe?</w:t>
            </w:r>
          </w:p>
        </w:tc>
      </w:tr>
      <w:tr>
        <w:trPr>
          <w:tblHeader w:val="false"/>
        </w:trPr>
        <w:tc>
          <w:tcPr>
            <w:tcW w:type="dxa" w:w="131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2027 Q1</w:t>
            </w:r>
          </w:p>
        </w:tc>
        <w:tc>
          <w:tcPr>
            <w:tcW w:type="dxa" w:w="22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Matryoshka embeddings + retrieval memory</w:t>
            </w:r>
          </w:p>
        </w:tc>
        <w:tc>
          <w:tcPr>
            <w:tcW w:type="dxa" w:w="32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Nested embeddings for cache/routing/offline discovery</w:t>
            </w:r>
          </w:p>
        </w:tc>
        <w:tc>
          <w:tcPr>
            <w:tcW w:type="dxa" w:w="33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Does embedding size become an operational product knob?</w:t>
            </w:r>
          </w:p>
        </w:tc>
      </w:tr>
      <w:tr>
        <w:trPr>
          <w:tblHeader w:val="false"/>
        </w:trPr>
        <w:tc>
          <w:tcPr>
            <w:tcW w:type="dxa" w:w="131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2027 Q2</w:t>
            </w:r>
          </w:p>
        </w:tc>
        <w:tc>
          <w:tcPr>
            <w:tcW w:type="dxa" w:w="22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Supervector molecule discovery</w:t>
            </w:r>
          </w:p>
        </w:tc>
        <w:tc>
          <w:tcPr>
            <w:tcW w:type="dxa" w:w="32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Motif clusters, expert validation, engine rule patch</w:t>
            </w:r>
          </w:p>
        </w:tc>
        <w:tc>
          <w:tcPr>
            <w:tcW w:type="dxa" w:w="33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Does a discovered motif improve deterministic coverage/review time?</w:t>
            </w:r>
          </w:p>
        </w:tc>
      </w:tr>
      <w:tr>
        <w:trPr>
          <w:tblHeader w:val="false"/>
        </w:trPr>
        <w:tc>
          <w:tcPr>
            <w:tcW w:type="dxa" w:w="131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2027 Q3–Q4</w:t>
            </w:r>
          </w:p>
        </w:tc>
        <w:tc>
          <w:tcPr>
            <w:tcW w:type="dxa" w:w="22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Verifier environments + objective loops</w:t>
            </w:r>
          </w:p>
        </w:tc>
        <w:tc>
          <w:tcPr>
            <w:tcW w:type="dxa" w:w="32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Typed edit environment, validator rewards, agent search comparison</w:t>
            </w:r>
          </w:p>
        </w:tc>
        <w:tc>
          <w:tcPr>
            <w:tcW w:type="dxa" w:w="33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Can the model loop below the expert until a higher-order objective is review-ready?</w:t>
            </w:r>
          </w:p>
        </w:tc>
      </w:tr>
    </w:tbl>
    <w:p>
      <w:pPr>
        <w:spacing w:after="120" w:before="120"/>
      </w:pPr>
      <w:r>
        <w:rPr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Source anchors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Arial" w:cs="Arial" w:eastAsia="Arial" w:hAnsi="Arial"/>
          <w:sz w:val="20"/>
          <w:szCs w:val="20"/>
        </w:rPr>
        <w:t xml:space="preserve">Latest deck: Augrade GNN Strategy(2).pptx, 17 slides (18 with the Quality loops insertion), especially slides 3, 8, 9, 11, 13, and 17.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Arial" w:cs="Arial" w:eastAsia="Arial" w:hAnsi="Arial"/>
          <w:sz w:val="20"/>
          <w:szCs w:val="20"/>
        </w:rPr>
        <w:t xml:space="preserve">Goodfire public positioning: mathematical structure and geometry inside neural networks; intentional model design agenda. https://www.goodfire.ai/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Arial" w:cs="Arial" w:eastAsia="Arial" w:hAnsi="Arial"/>
          <w:sz w:val="20"/>
          <w:szCs w:val="20"/>
        </w:rPr>
        <w:t xml:space="preserve">Kusupati et al., Matryoshka Representation Learning, arXiv:2205.13147. https://huggingface.co/papers/2205.13147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Arial" w:cs="Arial" w:eastAsia="Arial" w:hAnsi="Arial"/>
          <w:sz w:val="20"/>
          <w:szCs w:val="20"/>
        </w:rPr>
        <w:t xml:space="preserve">Prime Intellect Verifiers: environments contain task inputs, harness, reward/rubric, and can be used for RL training/evals/synthetic data. https://docs.primeintellect.ai/verifiers/overview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Arial" w:cs="Arial" w:eastAsia="Arial" w:hAnsi="Arial"/>
          <w:sz w:val="20"/>
          <w:szCs w:val="20"/>
        </w:rPr>
        <w:t xml:space="preserve">Prime Intellect Lab: Environments Hub + Hosted Training + Hosted Evaluations for post-training research. https://docs.primeintellect.ai/hosted-training/what-is-lab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Arial" w:cs="Arial" w:eastAsia="Arial" w:hAnsi="Arial"/>
          <w:sz w:val="20"/>
          <w:szCs w:val="20"/>
        </w:rPr>
        <w:t xml:space="preserve">Molecular GNN analogy: molecules as atom/bond graphs and message-passing representations. https://www.nature.com/articles/s42256-021-00438-4</w:t>
      </w:r>
    </w:p>
    <w:p>
      <w:pPr>
        <w:spacing w:after="0" w:before="360"/>
        <w:jc w:val="left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Augrade GNN Strategy companion · Paper trajectory supplement · Malachi Mabie · v2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11111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11111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2026-05-08T09:13:15.230Z</dcterms:created>
  <dcterms:modified xsi:type="dcterms:W3CDTF">2026-05-08T09:13:15.243Z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