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761"/>
          <w:spacing w:val="60"/>
          <w:sz w:val="16"/>
          <w:szCs w:val="16"/>
        </w:rPr>
        <w:t xml:space="preserve">STRATEGY COMPANION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Operating Doctrine: Persistent Edge, Quality Loops, and Hybrid Intelligence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companion memo distilling the last strategy turns into an execution doctrine. Use this as the written backup to the 18-slide deck.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Master the scarce layer. Borrow model capacity. Own problem shape. Compile discoveries back into the engine.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The doctrine in one page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fight every hard model battle. </w:t>
      </w:r>
      <w:r>
        <w:rPr>
          <w:rFonts w:ascii="Arial" w:cs="Arial" w:eastAsia="Arial" w:hAnsi="Arial"/>
          <w:sz w:val="20"/>
          <w:szCs w:val="20"/>
        </w:rPr>
        <w:t xml:space="preserve">Foundation models, open GNNs, hosted training, synthetic-data tools, and interpretability tooling will keep improving. Exploit them aggressively.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the boundary conditions. </w:t>
      </w:r>
      <w:r>
        <w:rPr>
          <w:rFonts w:ascii="Arial" w:cs="Arial" w:eastAsia="Arial" w:hAnsi="Arial"/>
          <w:sz w:val="20"/>
          <w:szCs w:val="20"/>
        </w:rPr>
        <w:t xml:space="preserve">Vector fidelity, persistent graph state, supervector formation, validator residuals, workflow exhaust, and rule compilation are Augrade-specific and compounding.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GNNs where locality is real. </w:t>
      </w:r>
      <w:r>
        <w:rPr>
          <w:rFonts w:ascii="Arial" w:cs="Arial" w:eastAsia="Arial" w:hAnsi="Arial"/>
          <w:sz w:val="20"/>
          <w:szCs w:val="20"/>
        </w:rPr>
        <w:t xml:space="preserve">Message passing is a local relational mechanism, not an infinite-context solution. If sparse features win, ship sparse features. If GNNs help a residual slice, use them there.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Treat the human loop as product, not tax. </w:t>
      </w:r>
      <w:r>
        <w:rPr>
          <w:rFonts w:ascii="Arial" w:cs="Arial" w:eastAsia="Arial" w:hAnsi="Arial"/>
          <w:sz w:val="20"/>
          <w:szCs w:val="20"/>
        </w:rPr>
        <w:t xml:space="preserve">Operator review is where expertise becomes labels, memory, validator policy, rule candidates, and customer trust.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Aim upward in autonomy. </w:t>
      </w:r>
      <w:r>
        <w:rPr>
          <w:rFonts w:ascii="Arial" w:cs="Arial" w:eastAsia="Arial" w:hAnsi="Arial"/>
          <w:sz w:val="20"/>
          <w:szCs w:val="20"/>
        </w:rPr>
        <w:t xml:space="preserve">The holy grail is not “no human.” It is moving human attention from primitive cleanup to objective review while the system loops below them inside verifier boundaries.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Master vs. borrow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024"/>
        <w:gridCol w:w="2016"/>
        <w:gridCol w:w="2822"/>
      </w:tblGrid>
      <w:tr>
        <w:trPr>
          <w:tblHeader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in-house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 aggressively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exploit it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DWG/DXF/vector fidelity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Bad conversion creates fake ML problems.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Foundation models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Research, coding, broad context, explanation, experiment design.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Stable object identity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Needed for memory, cache invalidation, edit history, and trust.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 GNN architectures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GraphSAGE/GATv2/PNA/HGT as replaceable baselines.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Supervectors / object formation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Where raw geometry becomes product state.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Hosted RL/training harnesses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 for verifier-environment search once typed actions exist.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Validator boundary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Truth, false-merge risk, policy, and auto-apply live here.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Embedding methods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Matryoshka, prototype memory, contrastive retrieval.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 exhaust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Accept/reject/fix traces compound with use.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Mech-interp tools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Mine motifs and rule candidates; do not make it a standalone science project.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Rule compiler loop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Learned residuals become deterministic capabilities.</w:t>
            </w:r>
          </w:p>
        </w:tc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Synthetic data tools</w:t>
            </w:r>
          </w:p>
        </w:tc>
        <w:tc>
          <w:tcPr>
            <w:tcW w:type="dxa" w:w="28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Rewrite orbits, corrupted variants, failure replay, ablation sweeps.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Pessimist route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If DWG conversion is brittle, annotations are ambiguous, sparse features are strong, rewrite invariance is partial, and generic AI commoditizes modeling, the substrate still wins.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Assume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 build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DWG conversion is the tar pit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Conversion fidelity harness, entity inventory, handle/color/text/layout preservation checks, overlay diffs.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Annotations are ambiguous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Annotation ontology and residual reports before model training.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Sparse features beat the GNN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Ship sparse calibrated scorer; use GNN only on proven local residuals.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Rewrite invariance is partial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Report safe/family-conditioned/unsafe rewrites instead of forcing a universal quotient.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Validators encode policy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Tier validators into geometry, engineering heuristics, jurisdiction/firm policy, and human review.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SAI commoditizes generic modeling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 environment, verifier, memory, workflow exhaust, and rule compiler.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Hybrid reality: GNNs are local machinery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 this against slide 9. </w:t>
      </w:r>
      <w:r>
        <w:rPr>
          <w:rFonts w:ascii="Arial" w:cs="Arial" w:eastAsia="Arial" w:hAnsi="Arial"/>
          <w:sz w:val="20"/>
          <w:szCs w:val="20"/>
        </w:rPr>
        <w:t xml:space="preserve">Slide 9 says local graph updates match edit propagation; foundation-model context handles global semantics; validators decide whether either one is allowed to act. The L-hop neighborhood is the operative scope: a GNN earns its place when the residual we care about is decidable inside a small number of message-passing hops. Anything that requires whole-drawing or whole-project context is not a message-passing problem.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GNNs help when </w:t>
      </w:r>
      <w:r>
        <w:rPr>
          <w:rFonts w:ascii="Arial" w:cs="Arial" w:eastAsia="Arial" w:hAnsi="Arial"/>
          <w:sz w:val="20"/>
          <w:szCs w:val="20"/>
        </w:rPr>
        <w:t xml:space="preserve">relations are local, edge types are meaningful, object identity is stable, validators define the target, and recomputation can stay L-hop local.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GNNs struggle when </w:t>
      </w:r>
      <w:r>
        <w:rPr>
          <w:rFonts w:ascii="Arial" w:cs="Arial" w:eastAsia="Arial" w:hAnsi="Arial"/>
          <w:sz w:val="20"/>
          <w:szCs w:val="20"/>
        </w:rPr>
        <w:t xml:space="preserve">perception is multimodal, drawing intent is global, annotations are ambiguous, schemas drift, long-range context matters, or graph construction is the bottleneck.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Foundation models help when </w:t>
      </w:r>
      <w:r>
        <w:rPr>
          <w:rFonts w:ascii="Arial" w:cs="Arial" w:eastAsia="Arial" w:hAnsi="Arial"/>
          <w:sz w:val="20"/>
          <w:szCs w:val="20"/>
        </w:rPr>
        <w:t xml:space="preserve">broad context, generative reasoning, explanation, code/research acceleration, and multimodal interpretation dominate.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Validators decide when </w:t>
      </w:r>
      <w:r>
        <w:rPr>
          <w:rFonts w:ascii="Arial" w:cs="Arial" w:eastAsia="Arial" w:hAnsi="Arial"/>
          <w:sz w:val="20"/>
          <w:szCs w:val="20"/>
        </w:rPr>
        <w:t xml:space="preserve">truth, geometry, policy, risk, and auto-apply boundaries matter.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Memory compounds when </w:t>
      </w:r>
      <w:r>
        <w:rPr>
          <w:rFonts w:ascii="Arial" w:cs="Arial" w:eastAsia="Arial" w:hAnsi="Arial"/>
          <w:sz w:val="20"/>
          <w:szCs w:val="20"/>
        </w:rPr>
        <w:t xml:space="preserve">recurring cases, customer conventions, prototypes, and learned motifs are retained across work.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Use GNNs where locality is real (L-hop). Use foundation models where context and generative reasoning dominate. Own the substrate that lets both improve the engine.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Persistent edge in a world of SAI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427"/>
        <w:gridCol w:w="3326"/>
      </w:tblGrid>
      <w:tr>
        <w:trPr>
          <w:tblHeader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Commoditizes</w:t>
            </w:r>
          </w:p>
        </w:tc>
        <w:tc>
          <w:tcPr>
            <w:tcW w:type="dxa" w:w="342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Persists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Compounds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Code scaffolding; paper search; baseline training; synthetic rewrite generation; eval harness boilerplate; generic planning agents.</w:t>
            </w:r>
          </w:p>
        </w:tc>
        <w:tc>
          <w:tcPr>
            <w:tcW w:type="dxa" w:w="342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drawing history; correction/rejection traces; validator definitions; false-merge policy; code/jurisdiction constraints; per-firm conventions; persistent IDs.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Matryoshka graph embeddings; prototype memory; expert teaching models; discovered supervectors/motifs; rules compiled into engine; verifier environments; calibrated auto-apply policy.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 SAI conditions, the moat is not intelligence. The moat is the environment, the verifier, the memory, and the trusted edit loop.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Quality loops: make review worth doing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The human loop is not a tax. It is the product surface where expertise becomes data.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326"/>
        <w:gridCol w:w="3326"/>
      </w:tblGrid>
      <w:tr>
        <w:trPr>
          <w:tblHeader/>
        </w:trPr>
        <w:tc>
          <w:tcPr>
            <w:tcW w:type="dxa" w:w="342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sees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captures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improves</w:t>
            </w:r>
          </w:p>
        </w:tc>
      </w:tr>
      <w:tr>
        <w:trPr>
          <w:tblHeader w:val="false"/>
        </w:trPr>
        <w:tc>
          <w:tcPr>
            <w:tcW w:type="dxa" w:w="342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Before/after overlay; model hypothesis; validator residual; similar past cases; one-click approve/reject/repair; why-it-matters explanation.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Label/preference; correction trace; edit delta; validator before/after; time-to-fix; confidence shift; motif/rule candidate.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Fewer repeated errors; better retrieval; tighter conformal bands; stronger prototype memory; new deterministic rules; safer auto-apply threshold.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Good loop: </w:t>
      </w:r>
      <w:r>
        <w:rPr>
          <w:rFonts w:ascii="Arial" w:cs="Arial" w:eastAsia="Arial" w:hAnsi="Arial"/>
          <w:sz w:val="20"/>
          <w:szCs w:val="20"/>
        </w:rPr>
        <w:t xml:space="preserve">useful work → correction/approval → validator residual → memory/rule/label update.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Bad loop: </w:t>
      </w:r>
      <w:r>
        <w:rPr>
          <w:rFonts w:ascii="Arial" w:cs="Arial" w:eastAsia="Arial" w:hAnsi="Arial"/>
          <w:sz w:val="20"/>
          <w:szCs w:val="20"/>
        </w:rPr>
        <w:t xml:space="preserve">abstract labeling → unclear payoff → noisy labels → no system change.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Engagement is an ML systems variable: better DX creates better labels, better labels create better automation, better automation earns more trust.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From assisted review to objective completion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5040"/>
        <w:gridCol w:w="3024"/>
      </w:tblGrid>
      <w:tr>
        <w:trPr>
          <w:tblHeader/>
        </w:trPr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Autonomy mode</w:t>
            </w:r>
          </w:p>
        </w:tc>
        <w:tc>
          <w:tcPr>
            <w:tcW w:type="dxa" w:w="50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role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Assist</w:t>
            </w:r>
          </w:p>
        </w:tc>
        <w:tc>
          <w:tcPr>
            <w:tcW w:type="dxa" w:w="50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 suggests one step at a time.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decides every step.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Co-pilot</w:t>
            </w:r>
          </w:p>
        </w:tc>
        <w:tc>
          <w:tcPr>
            <w:tcW w:type="dxa" w:w="50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 batches low-risk edits and review groups.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reviews grouped changes.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Verifier loop</w:t>
            </w:r>
          </w:p>
        </w:tc>
        <w:tc>
          <w:tcPr>
            <w:tcW w:type="dxa" w:w="50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 searches until validators pass or uncertainty/risk threshold is hit.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reviews residual summary and exceptions.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Objective loop</w:t>
            </w:r>
          </w:p>
        </w:tc>
        <w:tc>
          <w:tcPr>
            <w:tcW w:type="dxa" w:w="50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 decomposes goal, edits, verifies, retrieves cases, revises plan, and stops at a risk boundary.</w:t>
            </w:r>
          </w:p>
        </w:tc>
        <w:tc>
          <w:tcPr>
            <w:tcW w:type="dxa" w:w="302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approves higher-order objective and irreversible choices.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The holy grail is not replacing the expert; it is moving the expert up the abstraction ladder while the system loops below them.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Dictionary → geometry → compiler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Concept dictionary: </w:t>
      </w:r>
      <w:r>
        <w:rPr>
          <w:rFonts w:ascii="Arial" w:cs="Arial" w:eastAsia="Arial" w:hAnsi="Arial"/>
          <w:sz w:val="20"/>
          <w:szCs w:val="20"/>
        </w:rPr>
        <w:t xml:space="preserve">wall, hatch, door, label, shaft, dimension.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Representation geometry: </w:t>
      </w:r>
      <w:r>
        <w:rPr>
          <w:rFonts w:ascii="Arial" w:cs="Arial" w:eastAsia="Arial" w:hAnsi="Arial"/>
          <w:sz w:val="20"/>
          <w:szCs w:val="20"/>
        </w:rPr>
        <w:t xml:space="preserve">rewrite orbits, validator residual directions, edit-acceptance manifolds, motif neighborhoods, customer convention basins.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Compiler loop: </w:t>
      </w:r>
      <w:r>
        <w:rPr>
          <w:rFonts w:ascii="Arial" w:cs="Arial" w:eastAsia="Arial" w:hAnsi="Arial"/>
          <w:sz w:val="20"/>
          <w:szCs w:val="20"/>
        </w:rPr>
        <w:t xml:space="preserve">the model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discovers </w:t>
      </w:r>
      <w:r>
        <w:rPr>
          <w:rFonts w:ascii="Arial" w:cs="Arial" w:eastAsia="Arial" w:hAnsi="Arial"/>
          <w:sz w:val="20"/>
          <w:szCs w:val="20"/>
        </w:rPr>
        <w:t xml:space="preserve">geometry; probes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inspect </w:t>
      </w:r>
      <w:r>
        <w:rPr>
          <w:rFonts w:ascii="Arial" w:cs="Arial" w:eastAsia="Arial" w:hAnsi="Arial"/>
          <w:sz w:val="20"/>
          <w:szCs w:val="20"/>
        </w:rPr>
        <w:t xml:space="preserve">it; validators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verify </w:t>
      </w:r>
      <w:r>
        <w:rPr>
          <w:rFonts w:ascii="Arial" w:cs="Arial" w:eastAsia="Arial" w:hAnsi="Arial"/>
          <w:sz w:val="20"/>
          <w:szCs w:val="20"/>
        </w:rPr>
        <w:t xml:space="preserve">it; the engine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compiles </w:t>
      </w:r>
      <w:r>
        <w:rPr>
          <w:rFonts w:ascii="Arial" w:cs="Arial" w:eastAsia="Arial" w:hAnsi="Arial"/>
          <w:sz w:val="20"/>
          <w:szCs w:val="20"/>
        </w:rPr>
        <w:t xml:space="preserve">it into a deterministic rule or supervector. Discovers → inspect → verify → compile: one verb per stage, every stage acts on the same artifact.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The product does not need every concept atom. It needs the geometry that makes edits predictable.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Metrics that make the loop honest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Pick four metrics that compose into a single chain, not nine that fight for attention. </w:t>
      </w:r>
      <w:r>
        <w:rPr>
          <w:rFonts w:ascii="Arial" w:cs="Arial" w:eastAsia="Arial" w:hAnsi="Arial"/>
          <w:sz w:val="20"/>
          <w:szCs w:val="20"/>
        </w:rPr>
        <w:t xml:space="preserve">Each link feeds the next: review produces value, value compresses correction work, compressed corrections compile into permanent rules, and compiled rules earn autonomy.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218"/>
        <w:gridCol w:w="5645"/>
      </w:tblGrid>
      <w:tr>
        <w:trPr>
          <w:tblHeader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in the chain</w:t>
            </w:r>
          </w:p>
        </w:tc>
        <w:tc>
          <w:tcPr>
            <w:tcW w:type="dxa" w:w="56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actually measures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Review yield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Input to the loop</w:t>
            </w:r>
          </w:p>
        </w:tc>
        <w:tc>
          <w:tcPr>
            <w:tcW w:type="dxa" w:w="56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Useful labels/preferences per minute of operator time. If this is low, nothing downstream matters.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Correction compression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Immediate value</w:t>
            </w:r>
          </w:p>
        </w:tc>
        <w:tc>
          <w:tcPr>
            <w:tcW w:type="dxa" w:w="56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 edit work avoided per accepted suggestion. Proves the loop is paying back the operator in the same session.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Rule conversion rate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Compounding output</w:t>
            </w:r>
          </w:p>
        </w:tc>
        <w:tc>
          <w:tcPr>
            <w:tcW w:type="dxa" w:w="56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Fraction of learned motifs promoted into deterministic engine rules. Turns a per-session win into a permanent capability.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Time-to-trust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Autonomy outcome</w:t>
            </w:r>
          </w:p>
        </w:tc>
        <w:tc>
          <w:tcPr>
            <w:tcW w:type="dxa" w:w="56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Interactions before the customer allows a higher autonomy level. The downstream consequence of the first three working.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Everything else (acceptance rate, repeat-error decay, review-band efficiency, residual closure rate, objective completion rate) is a useful diagnostic, not a doctrine metric. Track them per-experiment; do not put them on the dashboard the company steers by.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Verbal close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We are not trying to build the smartest model in isolation. We are building the environment in which increasingly smart models become useful, trusted, and compounding.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Borrow model capacity; own problem shape.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The pessimist route is also the moat route.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The frame ships. The geometry compounds. The best discoveries compile back into the engine.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Source anchors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Latest deck: Augrade GNN Strategy v2.pptx, 18 slides after the Quality loops insertion, especially slides 3, 9, 11, 13, 15, and 17.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Recruiter questionnaire: GNN experience, physical-design background, hard-validator boundary, and representation-first framing.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Goodfire public positioning on neural-network geometry and intentional model design: https://www.goodfire.ai/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Prime Intellect Verifiers/Lab docs for environment/harness/reward/rubric framing: https://docs.primeintellect.ai/verifiers/overview and https://docs.primeintellect.ai/hosted-training/what-is-lab</w:t>
      </w:r>
    </w:p>
    <w:p>
      <w:pPr>
        <w:spacing w:after="0" w:before="3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Augrade GNN Strategy companion · Operating doctrine and quality-loop memo · v2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2026-05-08T09:13:15.276Z</dcterms:created>
  <dcterms:modified xsi:type="dcterms:W3CDTF">2026-05-08T09:13:15.276Z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