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2761"/>
          <w:spacing w:val="60"/>
          <w:sz w:val="16"/>
          <w:szCs w:val="16"/>
        </w:rPr>
        <w:t xml:space="preserve">PAPER SUPPLEMENT</w:t>
      </w:r>
    </w:p>
    <w:p>
      <w:pPr>
        <w:spacing w:after="80" w:before="60" w:line="3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2027 Publishable Paper Trajectory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companion one-pager-plus for the Augrade GNN Strategy deck. The through-line: publish the substrate, then the invariances, then the discovered supervectors.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761" w:sz="18"/>
              <w:left w:val="none" w:color="FFFFFF" w:sz="0"/>
              <w:bottom w:val="single" w:color="1E2761" w:sz="4"/>
              <w:right w:val="none" w:color="FFFFFF" w:sz="0"/>
            </w:tcBorders>
            <w:shd w:fill="EE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Publication north star: turn authored CAD into a verifier-backed learning environment where models reduce residual complexity and compile discoveries into persistent mechanisms.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Sequencing principle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 not lead with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“we trained a CAD GNN.” </w:t>
      </w:r>
      <w:r>
        <w:rPr>
          <w:rFonts w:ascii="Arial" w:cs="Arial" w:eastAsia="Arial" w:hAnsi="Arial"/>
          <w:sz w:val="20"/>
          <w:szCs w:val="20"/>
        </w:rPr>
        <w:t xml:space="preserve">Lead with the system boundary: vector graph state, rewrite stability, validator residuals, workflow memory, and rule compilation.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Publish in the order that de-risks the product. </w:t>
      </w:r>
      <w:r>
        <w:rPr>
          <w:rFonts w:ascii="Arial" w:cs="Arial" w:eastAsia="Arial" w:hAnsi="Arial"/>
          <w:sz w:val="20"/>
          <w:szCs w:val="20"/>
        </w:rPr>
        <w:t xml:space="preserve">Annotation alignment and rewrite benchmarks create the substrate; embeddings and motif discovery create compounding product memory; verifier environments create the agentic loop.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Treat model architecture as replaceable. </w:t>
      </w:r>
      <w:r>
        <w:rPr>
          <w:rFonts w:ascii="Arial" w:cs="Arial" w:eastAsia="Arial" w:hAnsi="Arial"/>
          <w:sz w:val="20"/>
          <w:szCs w:val="20"/>
        </w:rPr>
        <w:t xml:space="preserve">The publishable invariant is the environment and representation geometry, not any single message-passing layer.</w:t>
      </w:r>
    </w:p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not to publish first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Read this before the ladder. </w:t>
      </w:r>
      <w:r>
        <w:rPr>
          <w:rFonts w:ascii="Arial" w:cs="Arial" w:eastAsia="Arial" w:hAnsi="Arial"/>
          <w:sz w:val="20"/>
          <w:szCs w:val="20"/>
        </w:rPr>
        <w:t xml:space="preserve">The ladder is a sequencing argument, not a checklist of seven papers to ship. The fastest way to waste the substrate is to skip ahead.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A generic “GNN for CAD classification” paper with static labels and no validator loop.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A pure architecture paper before sparse relational baselines and rewrite stability tests exist.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A mechanistic-interpretability paper that names features but does not compile discoveries into engine rules.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An RL/autoresearch paper before the action grammar and validators are mature enough to define rewards.</w:t>
      </w:r>
    </w:p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2722"/>
        <w:gridCol w:w="3629"/>
        <w:gridCol w:w="3226"/>
      </w:tblGrid>
      <w:tr>
        <w:trPr>
          <w:tblHeader/>
        </w:trPr>
        <w:tc>
          <w:tcPr>
            <w:tcW w:type="dxa" w:w="5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concept</w:t>
            </w:r>
          </w:p>
        </w:tc>
        <w:tc>
          <w:tcPr>
            <w:tcW w:type="dxa" w:w="362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proof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7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Annotation-to-object correspondence in layer-blind vector CAD graphs</w:t>
            </w:r>
          </w:p>
        </w:tc>
        <w:tc>
          <w:tcPr>
            <w:tcW w:type="dxa" w:w="362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Easiest first. Turns CAD annotations into supervision without pretending every colored entity is a clean label.</w:t>
            </w:r>
          </w:p>
        </w:tc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Graph export + annotation semantics + drawing-level splits.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7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Rewrite-stable vector graphs for authored CAD</w:t>
            </w:r>
          </w:p>
        </w:tc>
        <w:tc>
          <w:tcPr>
            <w:tcW w:type="dxa" w:w="362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Strongest substrate paper. CAD variation is authored rewrite structure, not random noise.</w:t>
            </w:r>
          </w:p>
        </w:tc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Rewrite generators + score variance + sparse/GNN/embedding comparison.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7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Matryoshka graph embeddings for interactive CAD verification</w:t>
            </w:r>
          </w:p>
        </w:tc>
        <w:tc>
          <w:tcPr>
            <w:tcW w:type="dxa" w:w="362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Systems/product paper. One representation supports many latency and retrieval budgets.</w:t>
            </w:r>
          </w:p>
        </w:tc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Nested embeddings for cache, verifier routing, review retrieval, and offline rule mining.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7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Supervector molecules: motif discovery and rule compilation</w:t>
            </w:r>
          </w:p>
        </w:tc>
        <w:tc>
          <w:tcPr>
            <w:tcW w:type="dxa" w:w="362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Most original research contribution. Molecular-GNN analogy for CAD motifs that become engine primitives.</w:t>
            </w:r>
          </w:p>
        </w:tc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Discover motifs → expert validation → deterministic supervector/rule → measured engine improvement.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7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Engagement-aware verifier loops for CAD automation</w:t>
            </w:r>
          </w:p>
        </w:tc>
        <w:tc>
          <w:tcPr>
            <w:tcW w:type="dxa" w:w="362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Human loop as product surface and training environment.</w:t>
            </w:r>
          </w:p>
        </w:tc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Compare embedded review vs abstract labels; measure label yield, trust, and residual closure.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7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CAD verifier environments for typed edit repair</w:t>
            </w:r>
          </w:p>
        </w:tc>
        <w:tc>
          <w:tcPr>
            <w:tcW w:type="dxa" w:w="362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Autoresearch / RL paper. Verifiable rewards over graph edit actions.</w:t>
            </w:r>
          </w:p>
        </w:tc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Environment = drawing graph + action grammar + validators + reward/rubric.</w:t>
            </w:r>
          </w:p>
        </w:tc>
      </w:tr>
      <w:tr>
        <w:trPr>
          <w:tblHeader w:val="false"/>
        </w:trPr>
        <w:tc>
          <w:tcPr>
            <w:tcW w:type="dxa" w:w="5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7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Mechanistic interpretation of pretrained CAD graph networks</w:t>
            </w:r>
          </w:p>
        </w:tc>
        <w:tc>
          <w:tcPr>
            <w:tcW w:type="dxa" w:w="362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Frontier thread. Publish only when interpretation compiles into engine improvements.</w:t>
            </w:r>
          </w:p>
        </w:tc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Latent features/circuits → motif/rule proposal → validator-backed patch.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1 — Annotation-to-object correspondence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761" w:sz="18"/>
              <w:left w:val="none" w:color="FFFFFF" w:sz="0"/>
              <w:bottom w:val="single" w:color="1E2761" w:sz="4"/>
              <w:right w:val="none" w:color="FFFFFF" w:sz="0"/>
            </w:tcBorders>
            <w:shd w:fill="EE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Claim: architectural annotations are supervision, but not clean labels. The first dataset should learn what annotations refer to, not merely what primitives are.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tcW w:type="dxa" w:w="786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framing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786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Map text, tags, leaders, dimensions, colored marks, and room names onto primitive/supervector/face/component targets.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Model comparison</w:t>
            </w:r>
          </w:p>
        </w:tc>
        <w:tc>
          <w:tcPr>
            <w:tcW w:type="dxa" w:w="786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Geometry-only baseline, metadata ablation, sparse relation features, small GNN only where local ambiguity remains.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Eval split</w:t>
            </w:r>
          </w:p>
        </w:tc>
        <w:tc>
          <w:tcPr>
            <w:tcW w:type="dxa" w:w="786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Split by drawing or project, never randomly by entity. Random entity splits leak drafter style and repeated symbols.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Win condition</w:t>
            </w:r>
          </w:p>
        </w:tc>
        <w:tc>
          <w:tcPr>
            <w:tcW w:type="dxa" w:w="786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Recover useful supervision and route ambiguous annotation edges to review with calibrated residuals.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Fatal risk</w:t>
            </w:r>
          </w:p>
        </w:tc>
        <w:tc>
          <w:tcPr>
            <w:tcW w:type="dxa" w:w="786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Assuming all colored marks are labels. The right output is an annotation ontology plus residual report.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2 — Rewrite-stable vector graphs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761" w:sz="18"/>
              <w:left w:val="none" w:color="FFFFFF" w:sz="0"/>
              <w:bottom w:val="single" w:color="1E2761" w:sz="4"/>
              <w:right w:val="none" w:color="FFFFFF" w:sz="0"/>
            </w:tcBorders>
            <w:shd w:fill="EE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Claim: CAD equivalence is authored and categorical, not a clean Euclidean symmetry. The model should collapse safe rewrite orbits and preserve true semantic boundaries.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Rewrite set: </w:t>
      </w:r>
      <w:r>
        <w:rPr>
          <w:rFonts w:ascii="Arial" w:cs="Arial" w:eastAsia="Arial" w:hAnsi="Arial"/>
          <w:sz w:val="20"/>
          <w:szCs w:val="20"/>
        </w:rPr>
        <w:t xml:space="preserve">collinear split/merge, carrier swap, snap jitter, schema remap, hatch-outline equivalence.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Metric: </w:t>
      </w:r>
      <w:r>
        <w:rPr>
          <w:rFonts w:ascii="Arial" w:cs="Arial" w:eastAsia="Arial" w:hAnsi="Arial"/>
          <w:sz w:val="20"/>
          <w:szCs w:val="20"/>
        </w:rPr>
        <w:t xml:space="preserve">score variance and embedding drift across rewrite generators by relation type.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 to seek: </w:t>
      </w:r>
      <w:r>
        <w:rPr>
          <w:rFonts w:ascii="Arial" w:cs="Arial" w:eastAsia="Arial" w:hAnsi="Arial"/>
          <w:sz w:val="20"/>
          <w:szCs w:val="20"/>
        </w:rPr>
        <w:t xml:space="preserve">rewrite-stable models generalize better across drafter/project shifts than models optimized only for static labels.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Negative-result value: </w:t>
      </w:r>
      <w:r>
        <w:rPr>
          <w:rFonts w:ascii="Arial" w:cs="Arial" w:eastAsia="Arial" w:hAnsi="Arial"/>
          <w:sz w:val="20"/>
          <w:szCs w:val="20"/>
        </w:rPr>
        <w:t xml:space="preserve">if a rewrite fails, the system learns that the equivalence is family-conditioned or unsafe.</w:t>
      </w:r>
    </w:p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3 — Matryoshka graph embeddings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761" w:sz="18"/>
              <w:left w:val="none" w:color="FFFFFF" w:sz="0"/>
              <w:bottom w:val="single" w:color="1E2761" w:sz="4"/>
              <w:right w:val="none" w:color="FFFFFF" w:sz="0"/>
            </w:tcBorders>
            <w:shd w:fill="EE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Claim: embedding size should be a product knob, not a retraining event.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4637"/>
        <w:gridCol w:w="3629"/>
      </w:tblGrid>
      <w:tr>
        <w:trPr>
          <w:tblHeader/>
        </w:trPr>
        <w:tc>
          <w:tcPr>
            <w:tcW w:type="dxa" w:w="181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Embedding scale</w:t>
            </w:r>
          </w:p>
        </w:tc>
        <w:tc>
          <w:tcPr>
            <w:tcW w:type="dxa" w:w="463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surface</w:t>
            </w:r>
          </w:p>
        </w:tc>
        <w:tc>
          <w:tcPr>
            <w:tcW w:type="dxa" w:w="362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</w:tr>
      <w:tr>
        <w:trPr>
          <w:tblHeader w:val="false"/>
        </w:trPr>
        <w:tc>
          <w:tcPr>
            <w:tcW w:type="dxa" w:w="181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32–64d</w:t>
            </w:r>
          </w:p>
        </w:tc>
        <w:tc>
          <w:tcPr>
            <w:tcW w:type="dxa" w:w="463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Interactive cache invalidation, duplicate retrieval, local edit hints</w:t>
            </w:r>
          </w:p>
        </w:tc>
        <w:tc>
          <w:tcPr>
            <w:tcW w:type="dxa" w:w="362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Latency, cache hit rate, local retrieval precision</w:t>
            </w:r>
          </w:p>
        </w:tc>
      </w:tr>
      <w:tr>
        <w:trPr>
          <w:tblHeader w:val="false"/>
        </w:trPr>
        <w:tc>
          <w:tcPr>
            <w:tcW w:type="dxa" w:w="181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128–256d</w:t>
            </w:r>
          </w:p>
        </w:tc>
        <w:tc>
          <w:tcPr>
            <w:tcW w:type="dxa" w:w="463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Verifier routing, annotation queue triage, prototype memory</w:t>
            </w:r>
          </w:p>
        </w:tc>
        <w:tc>
          <w:tcPr>
            <w:tcW w:type="dxa" w:w="362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Routing accuracy, review yield, calibration</w:t>
            </w:r>
          </w:p>
        </w:tc>
      </w:tr>
      <w:tr>
        <w:trPr>
          <w:tblHeader w:val="false"/>
        </w:trPr>
        <w:tc>
          <w:tcPr>
            <w:tcW w:type="dxa" w:w="181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512d+</w:t>
            </w:r>
          </w:p>
        </w:tc>
        <w:tc>
          <w:tcPr>
            <w:tcW w:type="dxa" w:w="463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Offline failure clustering, cross-project motif discovery, mech-interp probes</w:t>
            </w:r>
          </w:p>
        </w:tc>
        <w:tc>
          <w:tcPr>
            <w:tcW w:type="dxa" w:w="362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Motif purity, rule conversion, cross-project retrieval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4 — Supervector molecules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761" w:sz="18"/>
              <w:left w:val="none" w:color="FFFFFF" w:sz="0"/>
              <w:bottom w:val="single" w:color="1E2761" w:sz="4"/>
              <w:right w:val="none" w:color="FFFFFF" w:sz="0"/>
            </w:tcBorders>
            <w:shd w:fill="EE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Claim: the interesting CAD unit is often not the primitive; it is the reusable motif. The model should discover CAD “molecules” and compile them into engine objects.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Chemistry analogy</w:t>
            </w:r>
          </w:p>
        </w:tc>
        <w:tc>
          <w:tcPr>
            <w:tcW w:type="dxa" w:w="685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 analogue</w:t>
            </w:r>
          </w:p>
        </w:tc>
      </w:tr>
      <w:tr>
        <w:trPr>
          <w:tblHeader w:val="false"/>
        </w:trPr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Atom</w:t>
            </w:r>
          </w:p>
        </w:tc>
        <w:tc>
          <w:tcPr>
            <w:tcW w:type="dxa" w:w="685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Primitive: line, arc, hatch, text, insert</w:t>
            </w:r>
          </w:p>
        </w:tc>
      </w:tr>
      <w:tr>
        <w:trPr>
          <w:tblHeader w:val="false"/>
        </w:trPr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Bond</w:t>
            </w:r>
          </w:p>
        </w:tc>
        <w:tc>
          <w:tcPr>
            <w:tcW w:type="dxa" w:w="685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Endpoint, adjacency, containment, label/leader edge</w:t>
            </w:r>
          </w:p>
        </w:tc>
      </w:tr>
      <w:tr>
        <w:trPr>
          <w:tblHeader w:val="false"/>
        </w:trPr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Functional group</w:t>
            </w:r>
          </w:p>
        </w:tc>
        <w:tc>
          <w:tcPr>
            <w:tcW w:type="dxa" w:w="685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Supervector: hatch-outline wall mass, door-swing/opening/tag, repeated panel cell</w:t>
            </w:r>
          </w:p>
        </w:tc>
      </w:tr>
      <w:tr>
        <w:trPr>
          <w:tblHeader w:val="false"/>
        </w:trPr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Molecule/scaffold</w:t>
            </w:r>
          </w:p>
        </w:tc>
        <w:tc>
          <w:tcPr>
            <w:tcW w:type="dxa" w:w="685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Room/wall/opening assembly, shaft cluster, repeated symbol family</w:t>
            </w:r>
          </w:p>
        </w:tc>
      </w:tr>
      <w:tr>
        <w:trPr>
          <w:tblHeader w:val="false"/>
        </w:trPr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Reaction mechanism</w:t>
            </w:r>
          </w:p>
        </w:tc>
        <w:tc>
          <w:tcPr>
            <w:tcW w:type="dxa" w:w="685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Typed edit rule: merge, split, attach, reroute, reassign</w:t>
            </w:r>
          </w:p>
        </w:tc>
      </w:tr>
      <w:tr>
        <w:trPr>
          <w:tblHeader w:val="false"/>
        </w:trPr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Energy / property</w:t>
            </w:r>
          </w:p>
        </w:tc>
        <w:tc>
          <w:tcPr>
            <w:tcW w:type="dxa" w:w="685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Validator residual, edit acceptance, review time saved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5 — Engagement-aware verifier loops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761" w:sz="18"/>
              <w:left w:val="none" w:color="FFFFFF" w:sz="0"/>
              <w:bottom w:val="single" w:color="1E2761" w:sz="4"/>
              <w:right w:val="none" w:color="FFFFFF" w:sz="0"/>
            </w:tcBorders>
            <w:shd w:fill="EE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Claim: annotation quality is endogenous to product experience. Make review feel like high-leverage design work, not data labeling.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Venue note. </w:t>
      </w:r>
      <w:r>
        <w:rPr>
          <w:rFonts w:ascii="Arial" w:cs="Arial" w:eastAsia="Arial" w:hAnsi="Arial"/>
          <w:sz w:val="20"/>
          <w:szCs w:val="20"/>
        </w:rPr>
        <w:t xml:space="preserve">This is a systems / product paper, not core ML. Natural homes are AEC venues (CAAD futures, ACADIA, eCAADe), CSCW, and CHI — not NeurIPS or ICML. The contribution is a closed-loop product mechanism (review surface → label/preference → validator residual → memory/rule update), measured on operator yield and trust dynamics rather than on a held-out benchmark. Treat any benchmark-style eval here as supporting evidence, not the headline.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Measure review yield: </w:t>
      </w:r>
      <w:r>
        <w:rPr>
          <w:rFonts w:ascii="Arial" w:cs="Arial" w:eastAsia="Arial" w:hAnsi="Arial"/>
          <w:sz w:val="20"/>
          <w:szCs w:val="20"/>
        </w:rPr>
        <w:t xml:space="preserve">useful labels/preferences per minute of operator time.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Measure correction compression: </w:t>
      </w:r>
      <w:r>
        <w:rPr>
          <w:rFonts w:ascii="Arial" w:cs="Arial" w:eastAsia="Arial" w:hAnsi="Arial"/>
          <w:sz w:val="20"/>
          <w:szCs w:val="20"/>
        </w:rPr>
        <w:t xml:space="preserve">how much manual edit work the suggestion avoided.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Measure repeat-error decay: </w:t>
      </w:r>
      <w:r>
        <w:rPr>
          <w:rFonts w:ascii="Arial" w:cs="Arial" w:eastAsia="Arial" w:hAnsi="Arial"/>
          <w:sz w:val="20"/>
          <w:szCs w:val="20"/>
        </w:rPr>
        <w:t xml:space="preserve">whether a failure cluster shrinks after review.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Measure rule conversion: </w:t>
      </w:r>
      <w:r>
        <w:rPr>
          <w:rFonts w:ascii="Arial" w:cs="Arial" w:eastAsia="Arial" w:hAnsi="Arial"/>
          <w:sz w:val="20"/>
          <w:szCs w:val="20"/>
        </w:rPr>
        <w:t xml:space="preserve">how often learned motifs become deterministic engine rules.</w:t>
      </w:r>
    </w:p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6 — CAD verifier environments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761" w:sz="18"/>
              <w:left w:val="none" w:color="FFFFFF" w:sz="0"/>
              <w:bottom w:val="single" w:color="1E2761" w:sz="4"/>
              <w:right w:val="none" w:color="FFFFFF" w:sz="0"/>
            </w:tcBorders>
            <w:shd w:fill="EE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Claim: agentic CAD repair becomes tractable only after state, action, and validators are explicit.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Environment state: </w:t>
      </w:r>
      <w:r>
        <w:rPr>
          <w:rFonts w:ascii="Arial" w:cs="Arial" w:eastAsia="Arial" w:hAnsi="Arial"/>
          <w:sz w:val="20"/>
          <w:szCs w:val="20"/>
        </w:rPr>
        <w:t xml:space="preserve">drawing graph + protected geometry + workflow context.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grammar: </w:t>
      </w:r>
      <w:r>
        <w:rPr>
          <w:rFonts w:ascii="Arial" w:cs="Arial" w:eastAsia="Arial" w:hAnsi="Arial"/>
          <w:sz w:val="20"/>
          <w:szCs w:val="20"/>
        </w:rPr>
        <w:t xml:space="preserve">merge, split, attach, reroute, reassign, resize, repair, delete.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Reward/rubric: </w:t>
      </w:r>
      <w:r>
        <w:rPr>
          <w:rFonts w:ascii="Arial" w:cs="Arial" w:eastAsia="Arial" w:hAnsi="Arial"/>
          <w:sz w:val="20"/>
          <w:szCs w:val="20"/>
        </w:rPr>
        <w:t xml:space="preserve">validator accepts, residual decreases, edit cost is minimal, protected geometry unchanged.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sz w:val="20"/>
          <w:szCs w:val="20"/>
        </w:rPr>
        <w:t xml:space="preserve">Use Prime-style environments for breadth experiments only after validators are mature; do not outsource M1–M3 or M7.</w:t>
      </w:r>
    </w:p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2026–2027 sequencing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2218"/>
        <w:gridCol w:w="3226"/>
        <w:gridCol w:w="3326"/>
      </w:tblGrid>
      <w:tr>
        <w:trPr>
          <w:tblHeader/>
        </w:trPr>
        <w:tc>
          <w:tcPr>
            <w:tcW w:type="dxa" w:w="131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target</w:t>
            </w:r>
          </w:p>
        </w:tc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 artifact</w:t>
            </w:r>
          </w:p>
        </w:tc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gate</w:t>
            </w:r>
          </w:p>
        </w:tc>
      </w:tr>
      <w:tr>
        <w:trPr>
          <w:tblHeader w:val="false"/>
        </w:trPr>
        <w:tc>
          <w:tcPr>
            <w:tcW w:type="dxa" w:w="131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2026 Q2–Q3</w:t>
            </w:r>
          </w:p>
        </w:tc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Substrate + annotation alignment</w:t>
            </w:r>
          </w:p>
        </w:tc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Graph manifests, annotation residual reports, sparse calibrated baseline</w:t>
            </w:r>
          </w:p>
        </w:tc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Can we build trusted graph state and review triage without a GNN?</w:t>
            </w:r>
          </w:p>
        </w:tc>
      </w:tr>
      <w:tr>
        <w:trPr>
          <w:tblHeader w:val="false"/>
        </w:trPr>
        <w:tc>
          <w:tcPr>
            <w:tcW w:type="dxa" w:w="131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2026 Q3–Q4</w:t>
            </w:r>
          </w:p>
        </w:tc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Rewrite benchmark</w:t>
            </w:r>
          </w:p>
        </w:tc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Rewrite generators + stability report + cross-drawing split</w:t>
            </w:r>
          </w:p>
        </w:tc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Which rewrite orbits are safe, family-conditioned, or unsafe?</w:t>
            </w:r>
          </w:p>
        </w:tc>
      </w:tr>
      <w:tr>
        <w:trPr>
          <w:tblHeader w:val="false"/>
        </w:trPr>
        <w:tc>
          <w:tcPr>
            <w:tcW w:type="dxa" w:w="131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2027 Q1</w:t>
            </w:r>
          </w:p>
        </w:tc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Matryoshka embeddings + retrieval memory</w:t>
            </w:r>
          </w:p>
        </w:tc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Nested embeddings for cache/routing/offline discovery</w:t>
            </w:r>
          </w:p>
        </w:tc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Does embedding size become an operational product knob?</w:t>
            </w:r>
          </w:p>
        </w:tc>
      </w:tr>
      <w:tr>
        <w:trPr>
          <w:tblHeader w:val="false"/>
        </w:trPr>
        <w:tc>
          <w:tcPr>
            <w:tcW w:type="dxa" w:w="131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2027 Q2</w:t>
            </w:r>
          </w:p>
        </w:tc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Supervector molecule discovery</w:t>
            </w:r>
          </w:p>
        </w:tc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Motif clusters, expert validation, engine rule patch</w:t>
            </w:r>
          </w:p>
        </w:tc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Does a discovered motif improve deterministic coverage/review time?</w:t>
            </w:r>
          </w:p>
        </w:tc>
      </w:tr>
      <w:tr>
        <w:trPr>
          <w:tblHeader w:val="false"/>
        </w:trPr>
        <w:tc>
          <w:tcPr>
            <w:tcW w:type="dxa" w:w="131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2027 Q3–Q4</w:t>
            </w:r>
          </w:p>
        </w:tc>
        <w:tc>
          <w:tcPr>
            <w:tcW w:type="dxa" w:w="22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Verifier environments + objective loops</w:t>
            </w:r>
          </w:p>
        </w:tc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Typed edit environment, validator rewards, agent search comparison</w:t>
            </w:r>
          </w:p>
        </w:tc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Can the model loop below the expert until a higher-order objective is review-ready?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Source anchors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Latest deck: Augrade GNN Strategy v2.pptx, 18 slides, especially slides 3, 8, 9, 11, 13, and 17.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Goodfire public positioning: mathematical structure and geometry inside neural networks; intentional model design agenda. https://www.goodfire.ai/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Kusupati et al., Matryoshka Representation Learning, arXiv:2205.13147. https://huggingface.co/papers/2205.13147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Prime Intellect Verifiers: environments contain task inputs, harness, reward/rubric, and can be used for RL training/evals/synthetic data. https://docs.primeintellect.ai/verifiers/overview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Prime Intellect Lab: Environments Hub + Hosted Training + Hosted Evaluations for post-training research. https://docs.primeintellect.ai/hosted-training/what-is-lab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Molecular GNN analogy: molecules as atom/bond graphs and message-passing representations. https://www.nature.com/articles/s42256-021-00438-4</w:t>
      </w:r>
    </w:p>
    <w:p>
      <w:pPr>
        <w:spacing w:after="0" w:before="36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Augrade GNN Strategy companion · Paper trajectory supplement · Malachi Mabie · v2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2026-05-08T09:13:15.230Z</dcterms:created>
  <dcterms:modified xsi:type="dcterms:W3CDTF">2026-05-08T09:13:15.243Z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