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C38" w:rsidRPr="00C73C38" w:rsidRDefault="00C73C38" w:rsidP="00A21700">
      <w:pPr>
        <w:rPr>
          <w:rFonts w:ascii="Gadugi" w:hAnsi="Gadugi"/>
          <w:i/>
        </w:rPr>
      </w:pPr>
      <w:r w:rsidRPr="00C73C38">
        <w:rPr>
          <w:rFonts w:ascii="Gadugi" w:hAnsi="Gadugi"/>
          <w:i/>
        </w:rPr>
        <w:t xml:space="preserve">MARK L. </w:t>
      </w:r>
      <w:proofErr w:type="spellStart"/>
      <w:r w:rsidRPr="00C73C38">
        <w:rPr>
          <w:rFonts w:ascii="Gadugi" w:hAnsi="Gadugi"/>
          <w:i/>
        </w:rPr>
        <w:t>MARISCOTES</w:t>
      </w:r>
      <w:proofErr w:type="spellEnd"/>
    </w:p>
    <w:p w:rsidR="00A21700" w:rsidRPr="00C73C38" w:rsidRDefault="00C73C38" w:rsidP="00A21700">
      <w:pPr>
        <w:rPr>
          <w:rFonts w:ascii="Gadugi" w:hAnsi="Gadugi"/>
          <w:b/>
        </w:rPr>
      </w:pPr>
      <w:r>
        <w:rPr>
          <w:rFonts w:ascii="Gadugi" w:hAnsi="Gadugi"/>
          <w:b/>
        </w:rPr>
        <w:t xml:space="preserve">A. </w:t>
      </w:r>
      <w:r w:rsidR="00A21700" w:rsidRPr="00C73C38">
        <w:rPr>
          <w:rFonts w:ascii="Gadugi" w:hAnsi="Gadugi"/>
          <w:b/>
        </w:rPr>
        <w:t>Title: Final Project</w:t>
      </w:r>
    </w:p>
    <w:p w:rsidR="00A21700" w:rsidRPr="00C73C38" w:rsidRDefault="00A21700" w:rsidP="00A21700">
      <w:pPr>
        <w:rPr>
          <w:rFonts w:ascii="Gadugi" w:hAnsi="Gadugi"/>
        </w:rPr>
      </w:pPr>
      <w:r w:rsidRPr="00C73C38">
        <w:rPr>
          <w:rFonts w:ascii="Gadugi" w:hAnsi="Gadugi"/>
        </w:rPr>
        <w:t>The primary objective of this project is to ident</w:t>
      </w:r>
      <w:bookmarkStart w:id="0" w:name="_GoBack"/>
      <w:bookmarkEnd w:id="0"/>
      <w:r w:rsidRPr="00C73C38">
        <w:rPr>
          <w:rFonts w:ascii="Gadugi" w:hAnsi="Gadugi"/>
        </w:rPr>
        <w:t>ify the U.S. state that shows the best potential for business expansion, considering factors such as state income and corruption rates.</w:t>
      </w:r>
    </w:p>
    <w:p w:rsidR="007A16FD" w:rsidRPr="00C73C38" w:rsidRDefault="007A16FD" w:rsidP="00A21700">
      <w:pPr>
        <w:rPr>
          <w:rFonts w:ascii="Gadugi" w:hAnsi="Gadugi"/>
        </w:rPr>
      </w:pPr>
    </w:p>
    <w:p w:rsidR="00A21700" w:rsidRPr="00C73C38" w:rsidRDefault="00C73C38" w:rsidP="00A21700">
      <w:pPr>
        <w:rPr>
          <w:rFonts w:ascii="Gadugi" w:hAnsi="Gadugi"/>
          <w:b/>
        </w:rPr>
      </w:pPr>
      <w:r>
        <w:rPr>
          <w:rFonts w:ascii="Gadugi" w:hAnsi="Gadugi"/>
          <w:b/>
        </w:rPr>
        <w:t>B. T</w:t>
      </w:r>
      <w:r w:rsidR="00A21700" w:rsidRPr="00C73C38">
        <w:rPr>
          <w:rFonts w:ascii="Gadugi" w:hAnsi="Gadugi"/>
          <w:b/>
        </w:rPr>
        <w:t>itle: Project Overview &amp; Analysis Steps</w:t>
      </w:r>
    </w:p>
    <w:p w:rsidR="00A21700" w:rsidRPr="00C73C38" w:rsidRDefault="00A21700" w:rsidP="00A21700">
      <w:pPr>
        <w:rPr>
          <w:rFonts w:ascii="Gadugi" w:hAnsi="Gadugi"/>
        </w:rPr>
      </w:pPr>
      <w:r w:rsidRPr="00C73C38">
        <w:rPr>
          <w:rFonts w:ascii="Gadugi" w:hAnsi="Gadugi"/>
        </w:rPr>
        <w:t>Our project focuses on exploring potential relationships between socioeconomic factors, like income levels, and crime rates, which are represented by corruption convictions per capita across different U.S. states. We gathered data from various states detailing their income distribution and crime rates.</w:t>
      </w:r>
    </w:p>
    <w:p w:rsidR="00A21700" w:rsidRPr="00C73C38" w:rsidRDefault="00A21700" w:rsidP="00A21700">
      <w:pPr>
        <w:rPr>
          <w:rFonts w:ascii="Gadugi" w:hAnsi="Gadugi"/>
        </w:rPr>
      </w:pPr>
      <w:r w:rsidRPr="00C73C38">
        <w:rPr>
          <w:rFonts w:ascii="Gadugi" w:hAnsi="Gadugi"/>
        </w:rPr>
        <w:t>The methodology for this project includes:</w:t>
      </w:r>
    </w:p>
    <w:p w:rsidR="00A21700" w:rsidRPr="00C73C38" w:rsidRDefault="00A21700" w:rsidP="00A21700">
      <w:pPr>
        <w:pStyle w:val="ListParagraph"/>
        <w:numPr>
          <w:ilvl w:val="0"/>
          <w:numId w:val="3"/>
        </w:numPr>
        <w:rPr>
          <w:rFonts w:ascii="Gadugi" w:hAnsi="Gadugi"/>
        </w:rPr>
      </w:pPr>
      <w:r w:rsidRPr="00C73C38">
        <w:rPr>
          <w:rFonts w:ascii="Gadugi" w:hAnsi="Gadugi"/>
        </w:rPr>
        <w:t>Data Cleaning,</w:t>
      </w:r>
    </w:p>
    <w:p w:rsidR="00A21700" w:rsidRPr="00C73C38" w:rsidRDefault="00A21700" w:rsidP="00A21700">
      <w:pPr>
        <w:pStyle w:val="ListParagraph"/>
        <w:numPr>
          <w:ilvl w:val="0"/>
          <w:numId w:val="3"/>
        </w:numPr>
        <w:rPr>
          <w:rFonts w:ascii="Gadugi" w:hAnsi="Gadugi"/>
        </w:rPr>
      </w:pPr>
      <w:r w:rsidRPr="00C73C38">
        <w:rPr>
          <w:rFonts w:ascii="Gadugi" w:hAnsi="Gadugi"/>
        </w:rPr>
        <w:t>Exploratory Data Analysis or EDA,</w:t>
      </w:r>
    </w:p>
    <w:p w:rsidR="00A21700" w:rsidRPr="00C73C38" w:rsidRDefault="00A21700" w:rsidP="00A21700">
      <w:pPr>
        <w:pStyle w:val="ListParagraph"/>
        <w:numPr>
          <w:ilvl w:val="0"/>
          <w:numId w:val="3"/>
        </w:numPr>
        <w:rPr>
          <w:rFonts w:ascii="Gadugi" w:hAnsi="Gadugi"/>
        </w:rPr>
      </w:pPr>
      <w:r w:rsidRPr="00C73C38">
        <w:rPr>
          <w:rFonts w:ascii="Gadugi" w:hAnsi="Gadugi"/>
        </w:rPr>
        <w:t>Hypothesis Testing,</w:t>
      </w:r>
    </w:p>
    <w:p w:rsidR="00A21700" w:rsidRPr="00C73C38" w:rsidRDefault="00A21700" w:rsidP="00A21700">
      <w:pPr>
        <w:pStyle w:val="ListParagraph"/>
        <w:numPr>
          <w:ilvl w:val="0"/>
          <w:numId w:val="3"/>
        </w:numPr>
        <w:rPr>
          <w:rFonts w:ascii="Gadugi" w:hAnsi="Gadugi"/>
        </w:rPr>
      </w:pPr>
      <w:r w:rsidRPr="00C73C38">
        <w:rPr>
          <w:rFonts w:ascii="Gadugi" w:hAnsi="Gadugi"/>
        </w:rPr>
        <w:t>Correlation Analysis, and finally,</w:t>
      </w:r>
    </w:p>
    <w:p w:rsidR="00A21700" w:rsidRPr="00C73C38" w:rsidRDefault="00A21700" w:rsidP="00A21700">
      <w:pPr>
        <w:pStyle w:val="ListParagraph"/>
        <w:numPr>
          <w:ilvl w:val="0"/>
          <w:numId w:val="3"/>
        </w:numPr>
        <w:rPr>
          <w:rFonts w:ascii="Gadugi" w:hAnsi="Gadugi"/>
        </w:rPr>
      </w:pPr>
      <w:r w:rsidRPr="00C73C38">
        <w:rPr>
          <w:rFonts w:ascii="Gadugi" w:hAnsi="Gadugi"/>
        </w:rPr>
        <w:t>Drawing insights and conclusions based on our analysis.</w:t>
      </w:r>
    </w:p>
    <w:p w:rsidR="00A21700" w:rsidRPr="00C73C38" w:rsidRDefault="00A21700" w:rsidP="00A21700">
      <w:pPr>
        <w:pStyle w:val="ListParagraph"/>
        <w:rPr>
          <w:rFonts w:ascii="Gadugi" w:hAnsi="Gadugi"/>
        </w:rPr>
      </w:pPr>
    </w:p>
    <w:p w:rsidR="00A21700" w:rsidRPr="00C73C38" w:rsidRDefault="00A21700" w:rsidP="00A21700">
      <w:pPr>
        <w:pStyle w:val="ListParagraph"/>
        <w:rPr>
          <w:rFonts w:ascii="Gadugi" w:hAnsi="Gadugi"/>
        </w:rPr>
      </w:pPr>
    </w:p>
    <w:p w:rsidR="00A21700" w:rsidRPr="00C73C38" w:rsidRDefault="00C73C38" w:rsidP="00A21700">
      <w:pPr>
        <w:rPr>
          <w:rFonts w:ascii="Gadugi" w:hAnsi="Gadugi"/>
          <w:b/>
        </w:rPr>
      </w:pPr>
      <w:r>
        <w:rPr>
          <w:rFonts w:ascii="Gadugi" w:hAnsi="Gadugi"/>
          <w:b/>
        </w:rPr>
        <w:t xml:space="preserve">C. </w:t>
      </w:r>
      <w:r w:rsidR="00A21700" w:rsidRPr="00C73C38">
        <w:rPr>
          <w:rFonts w:ascii="Gadugi" w:hAnsi="Gadugi"/>
          <w:b/>
        </w:rPr>
        <w:t>Title: Preliminary Findings</w:t>
      </w:r>
    </w:p>
    <w:p w:rsidR="007A16FD" w:rsidRDefault="00A21700" w:rsidP="00A21700">
      <w:pPr>
        <w:rPr>
          <w:rFonts w:ascii="Gadugi" w:hAnsi="Gadugi"/>
        </w:rPr>
      </w:pPr>
      <w:r w:rsidRPr="00C73C38">
        <w:rPr>
          <w:rFonts w:ascii="Gadugi" w:hAnsi="Gadugi"/>
        </w:rPr>
        <w:t xml:space="preserve">In our preliminary analysis, we noticed that states with higher average incomes tend to have slightly lower convictions per capita, suggesting a minor negative correlation between income and corruption. However, this relationship </w:t>
      </w:r>
      <w:r w:rsidR="007A16FD" w:rsidRPr="00C73C38">
        <w:rPr>
          <w:rFonts w:ascii="Gadugi" w:hAnsi="Gadugi"/>
        </w:rPr>
        <w:t>is not</w:t>
      </w:r>
      <w:r w:rsidRPr="00C73C38">
        <w:rPr>
          <w:rFonts w:ascii="Gadugi" w:hAnsi="Gadugi"/>
        </w:rPr>
        <w:t xml:space="preserve"> very strong, and we should be cautious in attributing statistical significance to this observation.</w:t>
      </w:r>
    </w:p>
    <w:p w:rsidR="00C73C38" w:rsidRPr="00C73C38" w:rsidRDefault="00C73C38" w:rsidP="00A21700">
      <w:pPr>
        <w:rPr>
          <w:rFonts w:ascii="Gadugi" w:hAnsi="Gadugi"/>
        </w:rPr>
      </w:pPr>
      <w:r w:rsidRPr="00C73C38">
        <w:rPr>
          <w:noProof/>
        </w:rPr>
        <mc:AlternateContent>
          <mc:Choice Requires="wps">
            <w:drawing>
              <wp:anchor distT="0" distB="0" distL="114300" distR="114300" simplePos="0" relativeHeight="251659264" behindDoc="0" locked="0" layoutInCell="1" allowOverlap="1" wp14:anchorId="5587DF17" wp14:editId="58864B26">
                <wp:simplePos x="0" y="0"/>
                <wp:positionH relativeFrom="column">
                  <wp:posOffset>0</wp:posOffset>
                </wp:positionH>
                <wp:positionV relativeFrom="paragraph">
                  <wp:posOffset>0</wp:posOffset>
                </wp:positionV>
                <wp:extent cx="1675459" cy="253916"/>
                <wp:effectExtent l="0" t="0" r="0" b="0"/>
                <wp:wrapNone/>
                <wp:docPr id="7" name="Rectangle 6"/>
                <wp:cNvGraphicFramePr/>
                <a:graphic xmlns:a="http://schemas.openxmlformats.org/drawingml/2006/main">
                  <a:graphicData uri="http://schemas.microsoft.com/office/word/2010/wordprocessingShape">
                    <wps:wsp>
                      <wps:cNvSpPr/>
                      <wps:spPr>
                        <a:xfrm>
                          <a:off x="0" y="0"/>
                          <a:ext cx="1675459" cy="253916"/>
                        </a:xfrm>
                        <a:prstGeom prst="rect">
                          <a:avLst/>
                        </a:prstGeom>
                      </wps:spPr>
                      <wps:txbx>
                        <w:txbxContent>
                          <w:p w:rsidR="00C73C38" w:rsidRPr="00C73C38" w:rsidRDefault="00C73C38" w:rsidP="00C73C38">
                            <w:pPr>
                              <w:pStyle w:val="NormalWeb"/>
                              <w:spacing w:before="0" w:beforeAutospacing="0" w:after="0" w:afterAutospacing="0"/>
                              <w:rPr>
                                <w:rFonts w:ascii="Gadugi" w:hAnsi="Gadugi"/>
                              </w:rPr>
                            </w:pPr>
                            <w:r w:rsidRPr="00C73C38">
                              <w:rPr>
                                <w:rFonts w:ascii="Gadugi" w:eastAsia="Inter SemiBold" w:hAnsi="Gadugi" w:cs="Inter"/>
                                <w:b/>
                                <w:bCs/>
                                <w:color w:val="424242"/>
                                <w:sz w:val="21"/>
                                <w:szCs w:val="21"/>
                              </w:rPr>
                              <w:t>Highest Income States</w:t>
                            </w:r>
                          </w:p>
                        </w:txbxContent>
                      </wps:txbx>
                      <wps:bodyPr wrap="none">
                        <a:spAutoFit/>
                      </wps:bodyPr>
                    </wps:wsp>
                  </a:graphicData>
                </a:graphic>
              </wp:anchor>
            </w:drawing>
          </mc:Choice>
          <mc:Fallback>
            <w:pict>
              <v:rect w14:anchorId="5587DF17" id="Rectangle 6" o:spid="_x0000_s1026" style="position:absolute;margin-left:0;margin-top:0;width:131.95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" filled="f" stroked="f">
                <v:textbox style="mso-fit-shape-to-text:t">
                  <w:txbxContent>
                    <w:p w:rsidR="00C73C38" w:rsidRPr="00C73C38" w:rsidRDefault="00C73C38" w:rsidP="00C73C38">
                      <w:pPr>
                        <w:pStyle w:val="NormalWeb"/>
                        <w:spacing w:before="0" w:beforeAutospacing="0" w:after="0" w:afterAutospacing="0"/>
                        <w:rPr>
                          <w:rFonts w:ascii="Gadugi" w:hAnsi="Gadugi"/>
                        </w:rPr>
                      </w:pPr>
                      <w:r w:rsidRPr="00C73C38">
                        <w:rPr>
                          <w:rFonts w:ascii="Gadugi" w:eastAsia="Inter SemiBold" w:hAnsi="Gadugi" w:cs="Inter"/>
                          <w:b/>
                          <w:bCs/>
                          <w:color w:val="424242"/>
                          <w:sz w:val="21"/>
                          <w:szCs w:val="21"/>
                        </w:rPr>
                        <w:t>Highest Income States</w:t>
                      </w:r>
                    </w:p>
                  </w:txbxContent>
                </v:textbox>
              </v:rect>
            </w:pict>
          </mc:Fallback>
        </mc:AlternateContent>
      </w:r>
    </w:p>
    <w:tbl>
      <w:tblPr>
        <w:tblW w:w="5480" w:type="dxa"/>
        <w:tblCellMar>
          <w:left w:w="0" w:type="dxa"/>
          <w:right w:w="0" w:type="dxa"/>
        </w:tblCellMar>
        <w:tblLook w:val="0600" w:firstRow="0" w:lastRow="0" w:firstColumn="0" w:lastColumn="0" w:noHBand="1" w:noVBand="1"/>
      </w:tblPr>
      <w:tblGrid>
        <w:gridCol w:w="1880"/>
        <w:gridCol w:w="1820"/>
        <w:gridCol w:w="1780"/>
      </w:tblGrid>
      <w:tr w:rsidR="00C73C38" w:rsidRPr="00C73C38" w:rsidTr="00C73C38">
        <w:trPr>
          <w:trHeight w:val="397"/>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b/>
                <w:bCs/>
              </w:rPr>
              <w:t>State</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b/>
                <w:bCs/>
              </w:rPr>
              <w:t xml:space="preserve"> Avg. Income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b/>
                <w:bCs/>
              </w:rPr>
              <w:t>% Convictions</w:t>
            </w:r>
          </w:p>
        </w:tc>
      </w:tr>
      <w:tr w:rsidR="00C73C38" w:rsidRPr="00C73C38" w:rsidTr="00C73C38">
        <w:trPr>
          <w:trHeight w:val="397"/>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Maryland</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89,392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1.63%</w:t>
            </w:r>
          </w:p>
        </w:tc>
      </w:tr>
      <w:tr w:rsidR="00C73C38" w:rsidRPr="00C73C38" w:rsidTr="00C73C38">
        <w:trPr>
          <w:trHeight w:val="397"/>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Massachusetts</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82,427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2.68%</w:t>
            </w:r>
          </w:p>
        </w:tc>
      </w:tr>
      <w:tr w:rsidR="00C73C38" w:rsidRPr="00C73C38" w:rsidTr="00C73C38">
        <w:trPr>
          <w:trHeight w:val="397"/>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New Jersey</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81,740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2.24%</w:t>
            </w:r>
          </w:p>
        </w:tc>
      </w:tr>
      <w:tr w:rsidR="00C73C38" w:rsidRPr="00C73C38" w:rsidTr="00C73C38">
        <w:trPr>
          <w:trHeight w:val="397"/>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California</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80,440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1.29%</w:t>
            </w:r>
          </w:p>
        </w:tc>
      </w:tr>
      <w:tr w:rsidR="00C73C38" w:rsidRPr="00C73C38" w:rsidTr="00C73C38">
        <w:trPr>
          <w:trHeight w:val="397"/>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Connecticut</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79,287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2.37%</w:t>
            </w:r>
          </w:p>
        </w:tc>
      </w:tr>
    </w:tbl>
    <w:p w:rsidR="00C73C38" w:rsidRDefault="00C73C38" w:rsidP="00C73C38">
      <w:pPr>
        <w:pStyle w:val="NormalWeb"/>
        <w:spacing w:before="0" w:beforeAutospacing="0" w:after="0" w:afterAutospacing="0"/>
        <w:rPr>
          <w:rFonts w:ascii="Gadugi" w:eastAsia="Inter SemiBold" w:hAnsi="Gadugi" w:cs="Inter"/>
          <w:b/>
          <w:bCs/>
          <w:color w:val="424242"/>
          <w:sz w:val="21"/>
          <w:szCs w:val="21"/>
        </w:rPr>
      </w:pPr>
    </w:p>
    <w:p w:rsidR="00F5180B" w:rsidRDefault="00C73C38" w:rsidP="00C73C38">
      <w:pPr>
        <w:pStyle w:val="NormalWeb"/>
        <w:spacing w:before="0" w:beforeAutospacing="0" w:after="0" w:afterAutospacing="0"/>
        <w:rPr>
          <w:rFonts w:ascii="Gadugi" w:hAnsi="Gadugi"/>
        </w:rPr>
      </w:pPr>
      <w:r>
        <w:rPr>
          <w:rFonts w:ascii="Gadugi" w:eastAsia="Inter SemiBold" w:hAnsi="Gadugi" w:cs="Inter"/>
          <w:b/>
          <w:bCs/>
          <w:color w:val="424242"/>
          <w:sz w:val="21"/>
          <w:szCs w:val="21"/>
        </w:rPr>
        <w:t>Lowest</w:t>
      </w:r>
      <w:r w:rsidRPr="00C73C38">
        <w:rPr>
          <w:rFonts w:ascii="Gadugi" w:eastAsia="Inter SemiBold" w:hAnsi="Gadugi" w:cs="Inter"/>
          <w:b/>
          <w:bCs/>
          <w:color w:val="424242"/>
          <w:sz w:val="21"/>
          <w:szCs w:val="21"/>
        </w:rPr>
        <w:t xml:space="preserve"> Income States</w:t>
      </w:r>
    </w:p>
    <w:tbl>
      <w:tblPr>
        <w:tblW w:w="5480" w:type="dxa"/>
        <w:tblCellMar>
          <w:left w:w="0" w:type="dxa"/>
          <w:right w:w="0" w:type="dxa"/>
        </w:tblCellMar>
        <w:tblLook w:val="0600" w:firstRow="0" w:lastRow="0" w:firstColumn="0" w:lastColumn="0" w:noHBand="1" w:noVBand="1"/>
      </w:tblPr>
      <w:tblGrid>
        <w:gridCol w:w="1880"/>
        <w:gridCol w:w="1820"/>
        <w:gridCol w:w="1780"/>
      </w:tblGrid>
      <w:tr w:rsidR="00C73C38" w:rsidRPr="00C73C38" w:rsidTr="00C73C38">
        <w:trPr>
          <w:trHeight w:val="384"/>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b/>
                <w:bCs/>
              </w:rPr>
              <w:t>State</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b/>
                <w:bCs/>
              </w:rPr>
              <w:t xml:space="preserve"> Avg. Income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b/>
                <w:bCs/>
              </w:rPr>
              <w:t>% Convictions</w:t>
            </w:r>
          </w:p>
        </w:tc>
      </w:tr>
      <w:tr w:rsidR="00C73C38" w:rsidRPr="00C73C38" w:rsidTr="00C73C38">
        <w:trPr>
          <w:trHeight w:val="384"/>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West Virginia</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46,254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6.66%</w:t>
            </w:r>
          </w:p>
        </w:tc>
      </w:tr>
      <w:tr w:rsidR="00C73C38" w:rsidRPr="00C73C38" w:rsidTr="00C73C38">
        <w:trPr>
          <w:trHeight w:val="384"/>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lastRenderedPageBreak/>
              <w:t>Mississippi</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47,131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2.87%</w:t>
            </w:r>
          </w:p>
        </w:tc>
      </w:tr>
      <w:tr w:rsidR="00C73C38" w:rsidRPr="00C73C38" w:rsidTr="00C73C38">
        <w:trPr>
          <w:trHeight w:val="384"/>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New Mexico</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48,701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2.53%</w:t>
            </w:r>
          </w:p>
        </w:tc>
      </w:tr>
      <w:tr w:rsidR="00C73C38" w:rsidRPr="00C73C38" w:rsidTr="00C73C38">
        <w:trPr>
          <w:trHeight w:val="384"/>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Arkansas</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48,829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3.56%</w:t>
            </w:r>
          </w:p>
        </w:tc>
      </w:tr>
      <w:tr w:rsidR="00C73C38" w:rsidRPr="00C73C38" w:rsidTr="00C73C38">
        <w:trPr>
          <w:trHeight w:val="384"/>
        </w:trPr>
        <w:tc>
          <w:tcPr>
            <w:tcW w:w="18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Kentucky</w:t>
            </w:r>
          </w:p>
        </w:tc>
        <w:tc>
          <w:tcPr>
            <w:tcW w:w="182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 xml:space="preserve">              50,675 </w:t>
            </w:r>
          </w:p>
        </w:tc>
        <w:tc>
          <w:tcPr>
            <w:tcW w:w="1780" w:type="dxa"/>
            <w:tcBorders>
              <w:top w:val="single" w:sz="4" w:space="0" w:color="D0CECE"/>
              <w:left w:val="single" w:sz="4" w:space="0" w:color="D0CECE"/>
              <w:bottom w:val="single" w:sz="4" w:space="0" w:color="D0CECE"/>
              <w:right w:val="single" w:sz="4" w:space="0" w:color="D0CECE"/>
            </w:tcBorders>
            <w:shd w:val="clear" w:color="auto" w:fill="auto"/>
            <w:tcMar>
              <w:top w:w="15" w:type="dxa"/>
              <w:left w:w="15" w:type="dxa"/>
              <w:bottom w:w="0" w:type="dxa"/>
              <w:right w:w="15" w:type="dxa"/>
            </w:tcMar>
            <w:vAlign w:val="bottom"/>
            <w:hideMark/>
          </w:tcPr>
          <w:p w:rsidR="00C73C38" w:rsidRPr="00C73C38" w:rsidRDefault="00C73C38" w:rsidP="00C73C38">
            <w:pPr>
              <w:rPr>
                <w:rFonts w:ascii="Gadugi" w:hAnsi="Gadugi"/>
              </w:rPr>
            </w:pPr>
            <w:r w:rsidRPr="00C73C38">
              <w:rPr>
                <w:rFonts w:ascii="Gadugi" w:hAnsi="Gadugi"/>
              </w:rPr>
              <w:t>1.89%</w:t>
            </w:r>
          </w:p>
        </w:tc>
      </w:tr>
    </w:tbl>
    <w:p w:rsidR="00C73C38" w:rsidRPr="00C73C38" w:rsidRDefault="00C73C38" w:rsidP="00A21700">
      <w:pPr>
        <w:rPr>
          <w:rFonts w:ascii="Gadugi" w:hAnsi="Gadugi"/>
        </w:rPr>
      </w:pPr>
    </w:p>
    <w:p w:rsidR="00A21700" w:rsidRPr="00C73C38" w:rsidRDefault="00C73C38" w:rsidP="00A21700">
      <w:pPr>
        <w:rPr>
          <w:rFonts w:ascii="Gadugi" w:hAnsi="Gadugi"/>
          <w:b/>
        </w:rPr>
      </w:pPr>
      <w:r>
        <w:rPr>
          <w:rFonts w:ascii="Gadugi" w:hAnsi="Gadugi"/>
          <w:b/>
        </w:rPr>
        <w:t xml:space="preserve">D. </w:t>
      </w:r>
      <w:r w:rsidR="00A21700" w:rsidRPr="00C73C38">
        <w:rPr>
          <w:rFonts w:ascii="Gadugi" w:hAnsi="Gadugi"/>
          <w:b/>
        </w:rPr>
        <w:t>Title: Correlation Analysis</w:t>
      </w:r>
    </w:p>
    <w:p w:rsidR="00A21700" w:rsidRPr="00C73C38" w:rsidRDefault="00A21700" w:rsidP="00A21700">
      <w:pPr>
        <w:rPr>
          <w:rFonts w:ascii="Gadugi" w:hAnsi="Gadugi"/>
        </w:rPr>
      </w:pPr>
      <w:r w:rsidRPr="00C73C38">
        <w:rPr>
          <w:rFonts w:ascii="Gadugi" w:hAnsi="Gadugi"/>
        </w:rPr>
        <w:t xml:space="preserve">In the correlation analysis, we found an approximately -0.14 correlation between total state income and corruption convictions per capita. This weak negative relationship indicates that as the total state income increases, the corruption convictions per capita tend to decrease slightly. However, </w:t>
      </w:r>
      <w:proofErr w:type="gramStart"/>
      <w:r w:rsidRPr="00C73C38">
        <w:rPr>
          <w:rFonts w:ascii="Gadugi" w:hAnsi="Gadugi"/>
        </w:rPr>
        <w:t>it's</w:t>
      </w:r>
      <w:proofErr w:type="gramEnd"/>
      <w:r w:rsidRPr="00C73C38">
        <w:rPr>
          <w:rFonts w:ascii="Gadugi" w:hAnsi="Gadugi"/>
        </w:rPr>
        <w:t xml:space="preserve"> important to understand that correlation is not causation, and these are only preliminary findings.</w:t>
      </w:r>
    </w:p>
    <w:p w:rsidR="00A21700" w:rsidRPr="00C73C38" w:rsidRDefault="00C73C38" w:rsidP="00A21700">
      <w:pPr>
        <w:rPr>
          <w:rFonts w:ascii="Gadugi" w:hAnsi="Gadugi"/>
        </w:rPr>
      </w:pPr>
      <w:r w:rsidRPr="00C73C38">
        <w:rPr>
          <w:rFonts w:ascii="Gadugi" w:hAnsi="Gadugi"/>
        </w:rPr>
        <w:drawing>
          <wp:inline distT="0" distB="0" distL="0" distR="0" wp14:anchorId="11D97B45" wp14:editId="3A7AEDE8">
            <wp:extent cx="4903305" cy="2951412"/>
            <wp:effectExtent l="0" t="0" r="12065" b="190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C73C38" w:rsidRDefault="00C73C38" w:rsidP="00A21700">
      <w:pPr>
        <w:rPr>
          <w:rFonts w:ascii="Gadugi" w:hAnsi="Gadugi"/>
          <w:b/>
        </w:rPr>
      </w:pPr>
    </w:p>
    <w:p w:rsidR="00A21700" w:rsidRPr="00C73C38" w:rsidRDefault="00C73C38" w:rsidP="00A21700">
      <w:pPr>
        <w:rPr>
          <w:rFonts w:ascii="Gadugi" w:hAnsi="Gadugi"/>
          <w:b/>
        </w:rPr>
      </w:pPr>
      <w:r>
        <w:rPr>
          <w:rFonts w:ascii="Gadugi" w:hAnsi="Gadugi"/>
          <w:b/>
        </w:rPr>
        <w:t xml:space="preserve">E. </w:t>
      </w:r>
      <w:r w:rsidR="00A21700" w:rsidRPr="00C73C38">
        <w:rPr>
          <w:rFonts w:ascii="Gadugi" w:hAnsi="Gadugi"/>
          <w:b/>
        </w:rPr>
        <w:t>Title: Geographic Income Distribution</w:t>
      </w:r>
    </w:p>
    <w:p w:rsidR="00A21700" w:rsidRPr="00C73C38" w:rsidRDefault="00A21700" w:rsidP="00A21700">
      <w:pPr>
        <w:rPr>
          <w:rFonts w:ascii="Gadugi" w:hAnsi="Gadugi"/>
        </w:rPr>
      </w:pPr>
      <w:r w:rsidRPr="00C73C38">
        <w:rPr>
          <w:rFonts w:ascii="Gadugi" w:hAnsi="Gadugi"/>
        </w:rPr>
        <w:t>Looking at our geographical data, the map depicts each state with darker colors representing higher income and lighter colors indicating lower income. Generally, states with higher incomes are located along the coastlines.</w:t>
      </w:r>
    </w:p>
    <w:p w:rsidR="00A21700" w:rsidRPr="00C73C38" w:rsidRDefault="00C73C38" w:rsidP="00A21700">
      <w:pPr>
        <w:rPr>
          <w:rFonts w:ascii="Gadugi" w:hAnsi="Gadugi"/>
        </w:rPr>
      </w:pPr>
      <w:r w:rsidRPr="00C73C38">
        <w:rPr>
          <w:rFonts w:ascii="Gadugi" w:hAnsi="Gadugi"/>
        </w:rPr>
        <w:lastRenderedPageBreak/>
        <w:drawing>
          <wp:inline distT="0" distB="0" distL="0" distR="0" wp14:anchorId="170F2D2B" wp14:editId="2AF9B301">
            <wp:extent cx="4672842" cy="2533468"/>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a:stretch>
                      <a:fillRect/>
                    </a:stretch>
                  </pic:blipFill>
                  <pic:spPr>
                    <a:xfrm>
                      <a:off x="0" y="0"/>
                      <a:ext cx="4672842" cy="2533468"/>
                    </a:xfrm>
                    <a:prstGeom prst="rect">
                      <a:avLst/>
                    </a:prstGeom>
                  </pic:spPr>
                </pic:pic>
              </a:graphicData>
            </a:graphic>
          </wp:inline>
        </w:drawing>
      </w:r>
    </w:p>
    <w:p w:rsidR="00C73C38" w:rsidRDefault="00C73C38" w:rsidP="00A21700">
      <w:pPr>
        <w:rPr>
          <w:rFonts w:ascii="Gadugi" w:hAnsi="Gadugi"/>
          <w:b/>
        </w:rPr>
      </w:pPr>
    </w:p>
    <w:p w:rsidR="00A21700" w:rsidRPr="00C73C38" w:rsidRDefault="00C73C38" w:rsidP="00A21700">
      <w:pPr>
        <w:rPr>
          <w:rFonts w:ascii="Gadugi" w:hAnsi="Gadugi"/>
          <w:b/>
        </w:rPr>
      </w:pPr>
      <w:r>
        <w:rPr>
          <w:rFonts w:ascii="Gadugi" w:hAnsi="Gadugi"/>
          <w:b/>
        </w:rPr>
        <w:t xml:space="preserve">F. </w:t>
      </w:r>
      <w:r w:rsidR="00A21700" w:rsidRPr="00C73C38">
        <w:rPr>
          <w:rFonts w:ascii="Gadugi" w:hAnsi="Gadugi"/>
          <w:b/>
        </w:rPr>
        <w:t>Title: Histogram of Total Income Distribution</w:t>
      </w:r>
    </w:p>
    <w:p w:rsidR="00A21700" w:rsidRPr="00C73C38" w:rsidRDefault="00A21700" w:rsidP="00A21700">
      <w:pPr>
        <w:rPr>
          <w:rFonts w:ascii="Gadugi" w:hAnsi="Gadugi"/>
        </w:rPr>
      </w:pPr>
      <w:r w:rsidRPr="00C73C38">
        <w:rPr>
          <w:rFonts w:ascii="Gadugi" w:hAnsi="Gadugi"/>
        </w:rPr>
        <w:t>This histogram shows the distribution of total income across all states. It indicates a right-skewed distribution, meaning a majority of states have lower total incomes, while only a few states have significantly higher incomes.</w:t>
      </w:r>
    </w:p>
    <w:p w:rsidR="00A21700" w:rsidRPr="00C73C38" w:rsidRDefault="00C73C38" w:rsidP="00A21700">
      <w:pPr>
        <w:rPr>
          <w:rFonts w:ascii="Gadugi" w:hAnsi="Gadugi"/>
        </w:rPr>
      </w:pPr>
      <w:r w:rsidRPr="00C73C38">
        <w:rPr>
          <w:rFonts w:ascii="Gadugi" w:hAnsi="Gadugi"/>
        </w:rPr>
        <w:drawing>
          <wp:inline distT="0" distB="0" distL="0" distR="0" wp14:anchorId="5E640F99" wp14:editId="780BDC12">
            <wp:extent cx="4460023" cy="2928731"/>
            <wp:effectExtent l="0" t="0" r="0"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4460023" cy="2928731"/>
                    </a:xfrm>
                    <a:prstGeom prst="rect">
                      <a:avLst/>
                    </a:prstGeom>
                  </pic:spPr>
                </pic:pic>
              </a:graphicData>
            </a:graphic>
          </wp:inline>
        </w:drawing>
      </w:r>
    </w:p>
    <w:p w:rsidR="00F5180B" w:rsidRPr="00C73C38" w:rsidRDefault="00C73C38" w:rsidP="00F5180B">
      <w:pPr>
        <w:rPr>
          <w:rFonts w:ascii="Gadugi" w:hAnsi="Gadugi"/>
          <w:b/>
        </w:rPr>
      </w:pPr>
      <w:r>
        <w:rPr>
          <w:rFonts w:ascii="Gadugi" w:hAnsi="Gadugi"/>
          <w:b/>
          <w:bCs/>
        </w:rPr>
        <w:t xml:space="preserve">G. </w:t>
      </w:r>
      <w:r w:rsidR="00F5180B" w:rsidRPr="00C73C38">
        <w:rPr>
          <w:rFonts w:ascii="Gadugi" w:hAnsi="Gadugi"/>
          <w:b/>
          <w:bCs/>
        </w:rPr>
        <w:t>Findings</w:t>
      </w:r>
    </w:p>
    <w:p w:rsidR="00F5180B" w:rsidRPr="00C73C38" w:rsidRDefault="00F5180B" w:rsidP="00F5180B">
      <w:pPr>
        <w:rPr>
          <w:rFonts w:ascii="Gadugi" w:hAnsi="Gadugi"/>
        </w:rPr>
      </w:pPr>
      <w:r w:rsidRPr="00C73C38">
        <w:rPr>
          <w:rFonts w:ascii="Gadugi" w:hAnsi="Gadugi"/>
        </w:rPr>
        <w:t xml:space="preserve">From these results, we can say that there is a slight tendency for states with higher incomes to have lower conviction rates, but the relationship is not strong. It is therefore important to consider other factors such as tax rates, labor costs, and market demand, </w:t>
      </w:r>
      <w:proofErr w:type="gramStart"/>
      <w:r w:rsidRPr="00C73C38">
        <w:rPr>
          <w:rFonts w:ascii="Gadugi" w:hAnsi="Gadugi"/>
        </w:rPr>
        <w:t>should also be considered</w:t>
      </w:r>
      <w:proofErr w:type="gramEnd"/>
      <w:r w:rsidRPr="00C73C38">
        <w:rPr>
          <w:rFonts w:ascii="Gadugi" w:hAnsi="Gadugi"/>
        </w:rPr>
        <w:t>.</w:t>
      </w:r>
    </w:p>
    <w:p w:rsidR="00F5180B" w:rsidRDefault="00F5180B" w:rsidP="00F5180B">
      <w:pPr>
        <w:rPr>
          <w:rFonts w:ascii="Gadugi" w:hAnsi="Gadugi"/>
        </w:rPr>
      </w:pPr>
    </w:p>
    <w:p w:rsidR="00C73C38" w:rsidRPr="00C73C38" w:rsidRDefault="00C73C38" w:rsidP="00F5180B">
      <w:pPr>
        <w:rPr>
          <w:rFonts w:ascii="Gadugi" w:hAnsi="Gadugi"/>
        </w:rPr>
      </w:pPr>
    </w:p>
    <w:p w:rsidR="00C73C38" w:rsidRPr="00C73C38" w:rsidRDefault="00C73C38" w:rsidP="00C73C38">
      <w:pPr>
        <w:rPr>
          <w:rFonts w:ascii="Gadugi" w:hAnsi="Gadugi"/>
        </w:rPr>
      </w:pPr>
      <w:r>
        <w:rPr>
          <w:rFonts w:ascii="Gadugi" w:hAnsi="Gadugi"/>
          <w:b/>
          <w:bCs/>
        </w:rPr>
        <w:lastRenderedPageBreak/>
        <w:t xml:space="preserve">H. </w:t>
      </w:r>
      <w:r w:rsidRPr="00C73C38">
        <w:rPr>
          <w:rFonts w:ascii="Gadugi" w:hAnsi="Gadugi"/>
          <w:b/>
          <w:bCs/>
        </w:rPr>
        <w:t>Insights</w:t>
      </w:r>
    </w:p>
    <w:p w:rsidR="00F5180B" w:rsidRPr="00C73C38" w:rsidRDefault="00C73C38" w:rsidP="00C73C38">
      <w:pPr>
        <w:rPr>
          <w:rFonts w:ascii="Gadugi" w:hAnsi="Gadugi"/>
        </w:rPr>
      </w:pPr>
      <w:r w:rsidRPr="00C73C38">
        <w:rPr>
          <w:rFonts w:ascii="Gadugi" w:hAnsi="Gadugi"/>
        </w:rPr>
        <w:t xml:space="preserve">The analysis suggests that Maryland, with the highest average income, may have fewer convictions per capita compared to other states. This </w:t>
      </w:r>
      <w:proofErr w:type="gramStart"/>
      <w:r w:rsidRPr="00C73C38">
        <w:rPr>
          <w:rFonts w:ascii="Gadugi" w:hAnsi="Gadugi"/>
        </w:rPr>
        <w:t>could be attributed</w:t>
      </w:r>
      <w:proofErr w:type="gramEnd"/>
      <w:r w:rsidRPr="00C73C38">
        <w:rPr>
          <w:rFonts w:ascii="Gadugi" w:hAnsi="Gadugi"/>
        </w:rPr>
        <w:t xml:space="preserve"> to the possibility that states with higher average incomes tend to allocate more resources to law enforcement, education, and social services, or that the culture in these states is less tolerant of criminal behavior. Conversely, West Virginia, with the lowest average income, may have higher convictions per capita due to potential resource constraints or different social dynamics</w:t>
      </w:r>
    </w:p>
    <w:p w:rsidR="00C73C38" w:rsidRPr="00C73C38" w:rsidRDefault="00C73C38" w:rsidP="00C73C38">
      <w:pPr>
        <w:rPr>
          <w:rFonts w:ascii="Gadugi" w:hAnsi="Gadugi"/>
        </w:rPr>
      </w:pPr>
    </w:p>
    <w:p w:rsidR="00C73C38" w:rsidRPr="00C73C38" w:rsidRDefault="00C73C38" w:rsidP="00C73C38">
      <w:pPr>
        <w:rPr>
          <w:rFonts w:ascii="Gadugi" w:hAnsi="Gadugi"/>
        </w:rPr>
      </w:pPr>
      <w:r>
        <w:rPr>
          <w:rFonts w:ascii="Gadugi" w:hAnsi="Gadugi"/>
          <w:b/>
          <w:bCs/>
        </w:rPr>
        <w:t xml:space="preserve">I. </w:t>
      </w:r>
      <w:r w:rsidRPr="00C73C38">
        <w:rPr>
          <w:rFonts w:ascii="Gadugi" w:hAnsi="Gadugi"/>
          <w:b/>
          <w:bCs/>
        </w:rPr>
        <w:t>Answers to Business Questions</w:t>
      </w:r>
    </w:p>
    <w:p w:rsidR="00C73C38" w:rsidRPr="00C73C38" w:rsidRDefault="00C73C38" w:rsidP="00C73C38">
      <w:pPr>
        <w:rPr>
          <w:rFonts w:ascii="Gadugi" w:hAnsi="Gadugi"/>
        </w:rPr>
      </w:pPr>
      <w:r w:rsidRPr="00C73C38">
        <w:rPr>
          <w:rFonts w:ascii="Gadugi" w:hAnsi="Gadugi"/>
        </w:rPr>
        <w:t>In the process of selecting optimal locations for business expansion, I highly recommend considering states such as California, New Hampshire, and Hawaii. These states have demonstrated a potent combination of high average incomes and low conviction rates, making them prime candidates for business expansion.</w:t>
      </w:r>
    </w:p>
    <w:p w:rsidR="00C73C38" w:rsidRPr="00C73C38" w:rsidRDefault="00C73C38" w:rsidP="00C73C38">
      <w:pPr>
        <w:rPr>
          <w:rFonts w:ascii="Gadugi" w:hAnsi="Gadugi"/>
        </w:rPr>
      </w:pPr>
      <w:r w:rsidRPr="00C73C38">
        <w:rPr>
          <w:rFonts w:ascii="Gadugi" w:hAnsi="Gadugi"/>
        </w:rPr>
        <w:t>High average incomes in these states suggest a strong local economy and a potential customer base with significant purchasing power. This could translate into a higher demand for your products or services, contributing to increased sales and profits. Furthermore, a thriving economic environment often indicates a supportive infrastructure for businesses, including well-established transportation, logistics, and communications systems.</w:t>
      </w:r>
    </w:p>
    <w:p w:rsidR="00C73C38" w:rsidRPr="00C73C38" w:rsidRDefault="00C73C38" w:rsidP="00C73C38">
      <w:pPr>
        <w:rPr>
          <w:rFonts w:ascii="Gadugi" w:hAnsi="Gadugi"/>
        </w:rPr>
      </w:pPr>
    </w:p>
    <w:p w:rsidR="00C73C38" w:rsidRPr="00C73C38" w:rsidRDefault="00C73C38" w:rsidP="00C73C38">
      <w:pPr>
        <w:rPr>
          <w:rFonts w:ascii="Gadugi" w:hAnsi="Gadugi"/>
        </w:rPr>
      </w:pPr>
      <w:r>
        <w:rPr>
          <w:rFonts w:ascii="Gadugi" w:hAnsi="Gadugi"/>
          <w:b/>
          <w:bCs/>
        </w:rPr>
        <w:t xml:space="preserve">J. </w:t>
      </w:r>
      <w:r w:rsidRPr="00C73C38">
        <w:rPr>
          <w:rFonts w:ascii="Gadugi" w:hAnsi="Gadugi"/>
          <w:b/>
          <w:bCs/>
        </w:rPr>
        <w:t>Recommendations</w:t>
      </w:r>
    </w:p>
    <w:p w:rsidR="00000000" w:rsidRPr="00C73C38" w:rsidRDefault="00C73C38" w:rsidP="00C73C38">
      <w:pPr>
        <w:numPr>
          <w:ilvl w:val="0"/>
          <w:numId w:val="4"/>
        </w:numPr>
        <w:rPr>
          <w:rFonts w:ascii="Gadugi" w:hAnsi="Gadugi"/>
        </w:rPr>
      </w:pPr>
      <w:r w:rsidRPr="00C73C38">
        <w:rPr>
          <w:rFonts w:ascii="Gadugi" w:hAnsi="Gadugi"/>
        </w:rPr>
        <w:t xml:space="preserve">States with high average incomes like </w:t>
      </w:r>
      <w:r w:rsidRPr="00C73C38">
        <w:rPr>
          <w:rFonts w:ascii="Gadugi" w:hAnsi="Gadugi"/>
        </w:rPr>
        <w:t>Maryland, indicating a strong economy and potential customer base with significant purchasing power.</w:t>
      </w:r>
    </w:p>
    <w:p w:rsidR="00000000" w:rsidRPr="00C73C38" w:rsidRDefault="00C73C38" w:rsidP="00C73C38">
      <w:pPr>
        <w:numPr>
          <w:ilvl w:val="0"/>
          <w:numId w:val="4"/>
        </w:numPr>
        <w:rPr>
          <w:rFonts w:ascii="Gadugi" w:hAnsi="Gadugi"/>
        </w:rPr>
      </w:pPr>
      <w:r w:rsidRPr="00C73C38">
        <w:rPr>
          <w:rFonts w:ascii="Gadugi" w:hAnsi="Gadugi"/>
        </w:rPr>
        <w:t xml:space="preserve">States with low conviction rates like Hawaii, potentially indicating lower levels of </w:t>
      </w:r>
      <w:r w:rsidRPr="00C73C38">
        <w:rPr>
          <w:rFonts w:ascii="Gadugi" w:hAnsi="Gadugi"/>
        </w:rPr>
        <w:t>corruption and a more reliable business environment.</w:t>
      </w:r>
    </w:p>
    <w:p w:rsidR="00000000" w:rsidRPr="00C73C38" w:rsidRDefault="00C73C38" w:rsidP="00C73C38">
      <w:pPr>
        <w:numPr>
          <w:ilvl w:val="0"/>
          <w:numId w:val="4"/>
        </w:numPr>
        <w:rPr>
          <w:rFonts w:ascii="Gadugi" w:hAnsi="Gadugi"/>
        </w:rPr>
      </w:pPr>
      <w:r w:rsidRPr="00C73C38">
        <w:rPr>
          <w:rFonts w:ascii="Gadugi" w:hAnsi="Gadugi"/>
        </w:rPr>
        <w:t xml:space="preserve">States with </w:t>
      </w:r>
      <w:proofErr w:type="gramStart"/>
      <w:r w:rsidRPr="00C73C38">
        <w:rPr>
          <w:rFonts w:ascii="Gadugi" w:hAnsi="Gadugi"/>
        </w:rPr>
        <w:t>low income</w:t>
      </w:r>
      <w:proofErr w:type="gramEnd"/>
      <w:r w:rsidRPr="00C73C38">
        <w:rPr>
          <w:rFonts w:ascii="Gadugi" w:hAnsi="Gadugi"/>
        </w:rPr>
        <w:t xml:space="preserve"> disparity like New Mexico, suggesting a more balanced consumer base and stable socio-economic conditions.</w:t>
      </w:r>
    </w:p>
    <w:p w:rsidR="00000000" w:rsidRPr="00C73C38" w:rsidRDefault="00C73C38" w:rsidP="00C73C38">
      <w:pPr>
        <w:numPr>
          <w:ilvl w:val="0"/>
          <w:numId w:val="4"/>
        </w:numPr>
        <w:rPr>
          <w:rFonts w:ascii="Gadugi" w:hAnsi="Gadugi"/>
        </w:rPr>
      </w:pPr>
      <w:r w:rsidRPr="00C73C38">
        <w:rPr>
          <w:rFonts w:ascii="Gadugi" w:hAnsi="Gadugi"/>
        </w:rPr>
        <w:t>States with both high incomes and low conviction rates, such as California, New Hampshire, and Hawaii, which might be favorable candidates for business expansion.</w:t>
      </w:r>
    </w:p>
    <w:p w:rsidR="00C73C38" w:rsidRPr="00C73C38" w:rsidRDefault="00C73C38" w:rsidP="00C73C38">
      <w:pPr>
        <w:rPr>
          <w:rFonts w:ascii="Gadugi" w:hAnsi="Gadugi"/>
        </w:rPr>
      </w:pPr>
      <w:r w:rsidRPr="00C73C38">
        <w:rPr>
          <w:rFonts w:ascii="Gadugi" w:hAnsi="Gadugi"/>
        </w:rPr>
        <w:t xml:space="preserve">However, it </w:t>
      </w:r>
      <w:proofErr w:type="gramStart"/>
      <w:r w:rsidRPr="00C73C38">
        <w:rPr>
          <w:rFonts w:ascii="Gadugi" w:hAnsi="Gadugi"/>
        </w:rPr>
        <w:t>is emphasized</w:t>
      </w:r>
      <w:proofErr w:type="gramEnd"/>
      <w:r w:rsidRPr="00C73C38">
        <w:rPr>
          <w:rFonts w:ascii="Gadugi" w:hAnsi="Gadugi"/>
        </w:rPr>
        <w:t xml:space="preserve"> that these recommendations are general and must be complemented with detailed market research, feasibility studies, and an understanding of local laws and regulations to make an informed decision specific to the particular business scenario.</w:t>
      </w:r>
    </w:p>
    <w:p w:rsidR="00C73C38" w:rsidRPr="00C73C38" w:rsidRDefault="00C73C38" w:rsidP="00C73C38">
      <w:pPr>
        <w:rPr>
          <w:rFonts w:ascii="Gadugi" w:hAnsi="Gadugi"/>
        </w:rPr>
      </w:pPr>
    </w:p>
    <w:p w:rsidR="00C73C38" w:rsidRPr="00C73C38" w:rsidRDefault="00C73C38" w:rsidP="00C73C38">
      <w:pPr>
        <w:rPr>
          <w:rFonts w:ascii="Gadugi" w:hAnsi="Gadugi"/>
        </w:rPr>
      </w:pPr>
      <w:r>
        <w:rPr>
          <w:rFonts w:ascii="Gadugi" w:hAnsi="Gadugi"/>
          <w:b/>
          <w:bCs/>
        </w:rPr>
        <w:t xml:space="preserve">K. </w:t>
      </w:r>
      <w:r w:rsidRPr="00C73C38">
        <w:rPr>
          <w:rFonts w:ascii="Gadugi" w:hAnsi="Gadugi"/>
          <w:b/>
          <w:bCs/>
        </w:rPr>
        <w:t>Challenges Encountered During the Analysis</w:t>
      </w:r>
    </w:p>
    <w:p w:rsidR="00C73C38" w:rsidRPr="00C73C38" w:rsidRDefault="00C73C38" w:rsidP="00C73C38">
      <w:pPr>
        <w:rPr>
          <w:rFonts w:ascii="Gadugi" w:hAnsi="Gadugi"/>
        </w:rPr>
      </w:pPr>
      <w:r w:rsidRPr="00C73C38">
        <w:rPr>
          <w:rFonts w:ascii="Gadugi" w:hAnsi="Gadugi"/>
        </w:rPr>
        <w:t xml:space="preserve">The analysis faced challenges with determining causal relationships due to the correlation versus causation issue. Additionally, the dataset had limited variables, omitting important </w:t>
      </w:r>
      <w:r w:rsidRPr="00C73C38">
        <w:rPr>
          <w:rFonts w:ascii="Gadugi" w:hAnsi="Gadugi"/>
        </w:rPr>
        <w:lastRenderedPageBreak/>
        <w:t>factors like education, unemployment rates, and demographic data. The accuracy and completeness of the provided data played a crucial role in the analysis, as any inaccuracies or missing information could have affected the results. Moreover, the insights derived were general and might not be applicable to all businesses or specific scenarios, as business expansion decisions require a more comprehensive understanding of the market and business environment.</w:t>
      </w:r>
    </w:p>
    <w:p w:rsidR="00C73C38" w:rsidRPr="00C73C38" w:rsidRDefault="00C73C38" w:rsidP="00C73C38">
      <w:pPr>
        <w:rPr>
          <w:rFonts w:ascii="Gadugi" w:hAnsi="Gadugi"/>
        </w:rPr>
      </w:pPr>
      <w:r w:rsidRPr="00C73C38">
        <w:rPr>
          <w:rFonts w:ascii="Gadugi" w:hAnsi="Gadugi"/>
        </w:rPr>
        <w:t>Regenerate response</w:t>
      </w:r>
    </w:p>
    <w:p w:rsidR="00C73C38" w:rsidRPr="00C73C38" w:rsidRDefault="00C73C38" w:rsidP="00C73C38">
      <w:pPr>
        <w:rPr>
          <w:rFonts w:ascii="Gadugi" w:hAnsi="Gadugi"/>
        </w:rPr>
      </w:pPr>
    </w:p>
    <w:p w:rsidR="00C73C38" w:rsidRPr="00C73C38" w:rsidRDefault="00C73C38" w:rsidP="00C73C38">
      <w:pPr>
        <w:rPr>
          <w:rFonts w:ascii="Gadugi" w:hAnsi="Gadugi"/>
        </w:rPr>
      </w:pPr>
      <w:r>
        <w:rPr>
          <w:rFonts w:ascii="Gadugi" w:hAnsi="Gadugi"/>
          <w:b/>
          <w:bCs/>
        </w:rPr>
        <w:t xml:space="preserve">L. </w:t>
      </w:r>
      <w:r w:rsidRPr="00C73C38">
        <w:rPr>
          <w:rFonts w:ascii="Gadugi" w:hAnsi="Gadugi"/>
          <w:b/>
          <w:bCs/>
        </w:rPr>
        <w:t>Recommendations for Future Research</w:t>
      </w:r>
    </w:p>
    <w:p w:rsidR="00C73C38" w:rsidRPr="00C73C38" w:rsidRDefault="00C73C38" w:rsidP="00C73C38">
      <w:pPr>
        <w:rPr>
          <w:rFonts w:ascii="Gadugi" w:hAnsi="Gadugi"/>
        </w:rPr>
      </w:pPr>
      <w:r w:rsidRPr="00C73C38">
        <w:rPr>
          <w:rFonts w:ascii="Gadugi" w:hAnsi="Gadugi"/>
        </w:rPr>
        <w:t>To improve the analysis, include a more comprehensive set of variables that could influence income levels and conviction rates, such as education levels, unemployment rates, population demographics, cost of living, tax rates, and local laws and regulations.</w:t>
      </w:r>
    </w:p>
    <w:p w:rsidR="00C73C38" w:rsidRPr="00C73C38" w:rsidRDefault="00C73C38" w:rsidP="00C73C38">
      <w:pPr>
        <w:rPr>
          <w:rFonts w:ascii="Gadugi" w:hAnsi="Gadugi"/>
        </w:rPr>
      </w:pPr>
      <w:r w:rsidRPr="00C73C38">
        <w:rPr>
          <w:rFonts w:ascii="Gadugi" w:hAnsi="Gadugi"/>
        </w:rPr>
        <w:t>To gain a deeper understanding of the trends over time, consider obtaining data from multiple years for a longitudinal analysis, which can help investigate whether changes in one variable lead to changes in another.</w:t>
      </w:r>
    </w:p>
    <w:p w:rsidR="00C73C38" w:rsidRPr="00C73C38" w:rsidRDefault="00C73C38" w:rsidP="00C73C38">
      <w:pPr>
        <w:rPr>
          <w:rFonts w:ascii="Gadugi" w:hAnsi="Gadugi"/>
        </w:rPr>
      </w:pPr>
    </w:p>
    <w:p w:rsidR="00B7393A" w:rsidRPr="00C73C38" w:rsidRDefault="00B7393A" w:rsidP="00F5180B">
      <w:pPr>
        <w:rPr>
          <w:rFonts w:ascii="Gadugi" w:hAnsi="Gadugi"/>
        </w:rPr>
      </w:pPr>
    </w:p>
    <w:sectPr w:rsidR="00B7393A" w:rsidRPr="00C73C38" w:rsidSect="00A04AEC">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Inter Semi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6644B3"/>
    <w:multiLevelType w:val="hybridMultilevel"/>
    <w:tmpl w:val="80A00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473349"/>
    <w:multiLevelType w:val="hybridMultilevel"/>
    <w:tmpl w:val="6778D99A"/>
    <w:lvl w:ilvl="0" w:tplc="9EF6CFD6">
      <w:start w:val="1"/>
      <w:numFmt w:val="bullet"/>
      <w:lvlText w:val="o"/>
      <w:lvlJc w:val="left"/>
      <w:pPr>
        <w:tabs>
          <w:tab w:val="num" w:pos="720"/>
        </w:tabs>
        <w:ind w:left="720" w:hanging="360"/>
      </w:pPr>
      <w:rPr>
        <w:rFonts w:ascii="Courier New" w:hAnsi="Courier New" w:hint="default"/>
      </w:rPr>
    </w:lvl>
    <w:lvl w:ilvl="1" w:tplc="BA061308" w:tentative="1">
      <w:start w:val="1"/>
      <w:numFmt w:val="bullet"/>
      <w:lvlText w:val="o"/>
      <w:lvlJc w:val="left"/>
      <w:pPr>
        <w:tabs>
          <w:tab w:val="num" w:pos="1440"/>
        </w:tabs>
        <w:ind w:left="1440" w:hanging="360"/>
      </w:pPr>
      <w:rPr>
        <w:rFonts w:ascii="Courier New" w:hAnsi="Courier New" w:hint="default"/>
      </w:rPr>
    </w:lvl>
    <w:lvl w:ilvl="2" w:tplc="91005380" w:tentative="1">
      <w:start w:val="1"/>
      <w:numFmt w:val="bullet"/>
      <w:lvlText w:val="o"/>
      <w:lvlJc w:val="left"/>
      <w:pPr>
        <w:tabs>
          <w:tab w:val="num" w:pos="2160"/>
        </w:tabs>
        <w:ind w:left="2160" w:hanging="360"/>
      </w:pPr>
      <w:rPr>
        <w:rFonts w:ascii="Courier New" w:hAnsi="Courier New" w:hint="default"/>
      </w:rPr>
    </w:lvl>
    <w:lvl w:ilvl="3" w:tplc="D0F86F5E" w:tentative="1">
      <w:start w:val="1"/>
      <w:numFmt w:val="bullet"/>
      <w:lvlText w:val="o"/>
      <w:lvlJc w:val="left"/>
      <w:pPr>
        <w:tabs>
          <w:tab w:val="num" w:pos="2880"/>
        </w:tabs>
        <w:ind w:left="2880" w:hanging="360"/>
      </w:pPr>
      <w:rPr>
        <w:rFonts w:ascii="Courier New" w:hAnsi="Courier New" w:hint="default"/>
      </w:rPr>
    </w:lvl>
    <w:lvl w:ilvl="4" w:tplc="D9E60C1C" w:tentative="1">
      <w:start w:val="1"/>
      <w:numFmt w:val="bullet"/>
      <w:lvlText w:val="o"/>
      <w:lvlJc w:val="left"/>
      <w:pPr>
        <w:tabs>
          <w:tab w:val="num" w:pos="3600"/>
        </w:tabs>
        <w:ind w:left="3600" w:hanging="360"/>
      </w:pPr>
      <w:rPr>
        <w:rFonts w:ascii="Courier New" w:hAnsi="Courier New" w:hint="default"/>
      </w:rPr>
    </w:lvl>
    <w:lvl w:ilvl="5" w:tplc="DF08F9E4" w:tentative="1">
      <w:start w:val="1"/>
      <w:numFmt w:val="bullet"/>
      <w:lvlText w:val="o"/>
      <w:lvlJc w:val="left"/>
      <w:pPr>
        <w:tabs>
          <w:tab w:val="num" w:pos="4320"/>
        </w:tabs>
        <w:ind w:left="4320" w:hanging="360"/>
      </w:pPr>
      <w:rPr>
        <w:rFonts w:ascii="Courier New" w:hAnsi="Courier New" w:hint="default"/>
      </w:rPr>
    </w:lvl>
    <w:lvl w:ilvl="6" w:tplc="4058CFC6" w:tentative="1">
      <w:start w:val="1"/>
      <w:numFmt w:val="bullet"/>
      <w:lvlText w:val="o"/>
      <w:lvlJc w:val="left"/>
      <w:pPr>
        <w:tabs>
          <w:tab w:val="num" w:pos="5040"/>
        </w:tabs>
        <w:ind w:left="5040" w:hanging="360"/>
      </w:pPr>
      <w:rPr>
        <w:rFonts w:ascii="Courier New" w:hAnsi="Courier New" w:hint="default"/>
      </w:rPr>
    </w:lvl>
    <w:lvl w:ilvl="7" w:tplc="5984AFD0" w:tentative="1">
      <w:start w:val="1"/>
      <w:numFmt w:val="bullet"/>
      <w:lvlText w:val="o"/>
      <w:lvlJc w:val="left"/>
      <w:pPr>
        <w:tabs>
          <w:tab w:val="num" w:pos="5760"/>
        </w:tabs>
        <w:ind w:left="5760" w:hanging="360"/>
      </w:pPr>
      <w:rPr>
        <w:rFonts w:ascii="Courier New" w:hAnsi="Courier New" w:hint="default"/>
      </w:rPr>
    </w:lvl>
    <w:lvl w:ilvl="8" w:tplc="6D94684C"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44287906"/>
    <w:multiLevelType w:val="hybridMultilevel"/>
    <w:tmpl w:val="7CAE8164"/>
    <w:lvl w:ilvl="0" w:tplc="78C8FAB6">
      <w:start w:val="1"/>
      <w:numFmt w:val="bullet"/>
      <w:lvlText w:val="●"/>
      <w:lvlJc w:val="left"/>
      <w:pPr>
        <w:tabs>
          <w:tab w:val="num" w:pos="720"/>
        </w:tabs>
        <w:ind w:left="720" w:hanging="360"/>
      </w:pPr>
      <w:rPr>
        <w:rFonts w:ascii="Inter" w:hAnsi="Inter" w:hint="default"/>
      </w:rPr>
    </w:lvl>
    <w:lvl w:ilvl="1" w:tplc="C2FE2940">
      <w:start w:val="1"/>
      <w:numFmt w:val="upperRoman"/>
      <w:lvlText w:val="%2."/>
      <w:lvlJc w:val="right"/>
      <w:pPr>
        <w:tabs>
          <w:tab w:val="num" w:pos="1440"/>
        </w:tabs>
        <w:ind w:left="1440" w:hanging="360"/>
      </w:pPr>
    </w:lvl>
    <w:lvl w:ilvl="2" w:tplc="E640DC8C" w:tentative="1">
      <w:start w:val="1"/>
      <w:numFmt w:val="bullet"/>
      <w:lvlText w:val="●"/>
      <w:lvlJc w:val="left"/>
      <w:pPr>
        <w:tabs>
          <w:tab w:val="num" w:pos="2160"/>
        </w:tabs>
        <w:ind w:left="2160" w:hanging="360"/>
      </w:pPr>
      <w:rPr>
        <w:rFonts w:ascii="Inter" w:hAnsi="Inter" w:hint="default"/>
      </w:rPr>
    </w:lvl>
    <w:lvl w:ilvl="3" w:tplc="93744548" w:tentative="1">
      <w:start w:val="1"/>
      <w:numFmt w:val="bullet"/>
      <w:lvlText w:val="●"/>
      <w:lvlJc w:val="left"/>
      <w:pPr>
        <w:tabs>
          <w:tab w:val="num" w:pos="2880"/>
        </w:tabs>
        <w:ind w:left="2880" w:hanging="360"/>
      </w:pPr>
      <w:rPr>
        <w:rFonts w:ascii="Inter" w:hAnsi="Inter" w:hint="default"/>
      </w:rPr>
    </w:lvl>
    <w:lvl w:ilvl="4" w:tplc="66EA993A" w:tentative="1">
      <w:start w:val="1"/>
      <w:numFmt w:val="bullet"/>
      <w:lvlText w:val="●"/>
      <w:lvlJc w:val="left"/>
      <w:pPr>
        <w:tabs>
          <w:tab w:val="num" w:pos="3600"/>
        </w:tabs>
        <w:ind w:left="3600" w:hanging="360"/>
      </w:pPr>
      <w:rPr>
        <w:rFonts w:ascii="Inter" w:hAnsi="Inter" w:hint="default"/>
      </w:rPr>
    </w:lvl>
    <w:lvl w:ilvl="5" w:tplc="AD7CF4B8" w:tentative="1">
      <w:start w:val="1"/>
      <w:numFmt w:val="bullet"/>
      <w:lvlText w:val="●"/>
      <w:lvlJc w:val="left"/>
      <w:pPr>
        <w:tabs>
          <w:tab w:val="num" w:pos="4320"/>
        </w:tabs>
        <w:ind w:left="4320" w:hanging="360"/>
      </w:pPr>
      <w:rPr>
        <w:rFonts w:ascii="Inter" w:hAnsi="Inter" w:hint="default"/>
      </w:rPr>
    </w:lvl>
    <w:lvl w:ilvl="6" w:tplc="DBA266B8" w:tentative="1">
      <w:start w:val="1"/>
      <w:numFmt w:val="bullet"/>
      <w:lvlText w:val="●"/>
      <w:lvlJc w:val="left"/>
      <w:pPr>
        <w:tabs>
          <w:tab w:val="num" w:pos="5040"/>
        </w:tabs>
        <w:ind w:left="5040" w:hanging="360"/>
      </w:pPr>
      <w:rPr>
        <w:rFonts w:ascii="Inter" w:hAnsi="Inter" w:hint="default"/>
      </w:rPr>
    </w:lvl>
    <w:lvl w:ilvl="7" w:tplc="00B680D2" w:tentative="1">
      <w:start w:val="1"/>
      <w:numFmt w:val="bullet"/>
      <w:lvlText w:val="●"/>
      <w:lvlJc w:val="left"/>
      <w:pPr>
        <w:tabs>
          <w:tab w:val="num" w:pos="5760"/>
        </w:tabs>
        <w:ind w:left="5760" w:hanging="360"/>
      </w:pPr>
      <w:rPr>
        <w:rFonts w:ascii="Inter" w:hAnsi="Inter" w:hint="default"/>
      </w:rPr>
    </w:lvl>
    <w:lvl w:ilvl="8" w:tplc="6EB459A6" w:tentative="1">
      <w:start w:val="1"/>
      <w:numFmt w:val="bullet"/>
      <w:lvlText w:val="●"/>
      <w:lvlJc w:val="left"/>
      <w:pPr>
        <w:tabs>
          <w:tab w:val="num" w:pos="6480"/>
        </w:tabs>
        <w:ind w:left="6480" w:hanging="360"/>
      </w:pPr>
      <w:rPr>
        <w:rFonts w:ascii="Inter" w:hAnsi="Inter" w:hint="default"/>
      </w:rPr>
    </w:lvl>
  </w:abstractNum>
  <w:abstractNum w:abstractNumId="3" w15:restartNumberingAfterBreak="0">
    <w:nsid w:val="60D76BBF"/>
    <w:multiLevelType w:val="hybridMultilevel"/>
    <w:tmpl w:val="8F0425F8"/>
    <w:lvl w:ilvl="0" w:tplc="1360BFEE">
      <w:start w:val="1"/>
      <w:numFmt w:val="bullet"/>
      <w:lvlText w:val="●"/>
      <w:lvlJc w:val="left"/>
      <w:pPr>
        <w:tabs>
          <w:tab w:val="num" w:pos="720"/>
        </w:tabs>
        <w:ind w:left="720" w:hanging="360"/>
      </w:pPr>
      <w:rPr>
        <w:rFonts w:ascii="Arial" w:hAnsi="Arial" w:hint="default"/>
      </w:rPr>
    </w:lvl>
    <w:lvl w:ilvl="1" w:tplc="880EF66C" w:tentative="1">
      <w:start w:val="1"/>
      <w:numFmt w:val="bullet"/>
      <w:lvlText w:val="●"/>
      <w:lvlJc w:val="left"/>
      <w:pPr>
        <w:tabs>
          <w:tab w:val="num" w:pos="1440"/>
        </w:tabs>
        <w:ind w:left="1440" w:hanging="360"/>
      </w:pPr>
      <w:rPr>
        <w:rFonts w:ascii="Arial" w:hAnsi="Arial" w:hint="default"/>
      </w:rPr>
    </w:lvl>
    <w:lvl w:ilvl="2" w:tplc="4AB0BA28" w:tentative="1">
      <w:start w:val="1"/>
      <w:numFmt w:val="bullet"/>
      <w:lvlText w:val="●"/>
      <w:lvlJc w:val="left"/>
      <w:pPr>
        <w:tabs>
          <w:tab w:val="num" w:pos="2160"/>
        </w:tabs>
        <w:ind w:left="2160" w:hanging="360"/>
      </w:pPr>
      <w:rPr>
        <w:rFonts w:ascii="Arial" w:hAnsi="Arial" w:hint="default"/>
      </w:rPr>
    </w:lvl>
    <w:lvl w:ilvl="3" w:tplc="30AA767C" w:tentative="1">
      <w:start w:val="1"/>
      <w:numFmt w:val="bullet"/>
      <w:lvlText w:val="●"/>
      <w:lvlJc w:val="left"/>
      <w:pPr>
        <w:tabs>
          <w:tab w:val="num" w:pos="2880"/>
        </w:tabs>
        <w:ind w:left="2880" w:hanging="360"/>
      </w:pPr>
      <w:rPr>
        <w:rFonts w:ascii="Arial" w:hAnsi="Arial" w:hint="default"/>
      </w:rPr>
    </w:lvl>
    <w:lvl w:ilvl="4" w:tplc="FC0C0DF4" w:tentative="1">
      <w:start w:val="1"/>
      <w:numFmt w:val="bullet"/>
      <w:lvlText w:val="●"/>
      <w:lvlJc w:val="left"/>
      <w:pPr>
        <w:tabs>
          <w:tab w:val="num" w:pos="3600"/>
        </w:tabs>
        <w:ind w:left="3600" w:hanging="360"/>
      </w:pPr>
      <w:rPr>
        <w:rFonts w:ascii="Arial" w:hAnsi="Arial" w:hint="default"/>
      </w:rPr>
    </w:lvl>
    <w:lvl w:ilvl="5" w:tplc="AC805A7A" w:tentative="1">
      <w:start w:val="1"/>
      <w:numFmt w:val="bullet"/>
      <w:lvlText w:val="●"/>
      <w:lvlJc w:val="left"/>
      <w:pPr>
        <w:tabs>
          <w:tab w:val="num" w:pos="4320"/>
        </w:tabs>
        <w:ind w:left="4320" w:hanging="360"/>
      </w:pPr>
      <w:rPr>
        <w:rFonts w:ascii="Arial" w:hAnsi="Arial" w:hint="default"/>
      </w:rPr>
    </w:lvl>
    <w:lvl w:ilvl="6" w:tplc="61D4661A" w:tentative="1">
      <w:start w:val="1"/>
      <w:numFmt w:val="bullet"/>
      <w:lvlText w:val="●"/>
      <w:lvlJc w:val="left"/>
      <w:pPr>
        <w:tabs>
          <w:tab w:val="num" w:pos="5040"/>
        </w:tabs>
        <w:ind w:left="5040" w:hanging="360"/>
      </w:pPr>
      <w:rPr>
        <w:rFonts w:ascii="Arial" w:hAnsi="Arial" w:hint="default"/>
      </w:rPr>
    </w:lvl>
    <w:lvl w:ilvl="7" w:tplc="808AA354" w:tentative="1">
      <w:start w:val="1"/>
      <w:numFmt w:val="bullet"/>
      <w:lvlText w:val="●"/>
      <w:lvlJc w:val="left"/>
      <w:pPr>
        <w:tabs>
          <w:tab w:val="num" w:pos="5760"/>
        </w:tabs>
        <w:ind w:left="5760" w:hanging="360"/>
      </w:pPr>
      <w:rPr>
        <w:rFonts w:ascii="Arial" w:hAnsi="Arial" w:hint="default"/>
      </w:rPr>
    </w:lvl>
    <w:lvl w:ilvl="8" w:tplc="3C0E3482"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1BE"/>
    <w:rsid w:val="000457CA"/>
    <w:rsid w:val="00300D36"/>
    <w:rsid w:val="00444374"/>
    <w:rsid w:val="006A21BE"/>
    <w:rsid w:val="007A16FD"/>
    <w:rsid w:val="00A04AEC"/>
    <w:rsid w:val="00A21700"/>
    <w:rsid w:val="00B7393A"/>
    <w:rsid w:val="00C73C38"/>
    <w:rsid w:val="00E3704C"/>
    <w:rsid w:val="00F51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E9D5"/>
  <w15:chartTrackingRefBased/>
  <w15:docId w15:val="{6671FF72-E04D-4422-8227-C1CEE8239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1BE"/>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6A21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2930">
      <w:bodyDiv w:val="1"/>
      <w:marLeft w:val="0"/>
      <w:marRight w:val="0"/>
      <w:marTop w:val="0"/>
      <w:marBottom w:val="0"/>
      <w:divBdr>
        <w:top w:val="none" w:sz="0" w:space="0" w:color="auto"/>
        <w:left w:val="none" w:sz="0" w:space="0" w:color="auto"/>
        <w:bottom w:val="none" w:sz="0" w:space="0" w:color="auto"/>
        <w:right w:val="none" w:sz="0" w:space="0" w:color="auto"/>
      </w:divBdr>
    </w:div>
    <w:div w:id="64425153">
      <w:bodyDiv w:val="1"/>
      <w:marLeft w:val="0"/>
      <w:marRight w:val="0"/>
      <w:marTop w:val="0"/>
      <w:marBottom w:val="0"/>
      <w:divBdr>
        <w:top w:val="none" w:sz="0" w:space="0" w:color="auto"/>
        <w:left w:val="none" w:sz="0" w:space="0" w:color="auto"/>
        <w:bottom w:val="none" w:sz="0" w:space="0" w:color="auto"/>
        <w:right w:val="none" w:sz="0" w:space="0" w:color="auto"/>
      </w:divBdr>
    </w:div>
    <w:div w:id="94984055">
      <w:bodyDiv w:val="1"/>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720"/>
          <w:marRight w:val="0"/>
          <w:marTop w:val="0"/>
          <w:marBottom w:val="0"/>
          <w:divBdr>
            <w:top w:val="none" w:sz="0" w:space="0" w:color="auto"/>
            <w:left w:val="none" w:sz="0" w:space="0" w:color="auto"/>
            <w:bottom w:val="none" w:sz="0" w:space="0" w:color="auto"/>
            <w:right w:val="none" w:sz="0" w:space="0" w:color="auto"/>
          </w:divBdr>
        </w:div>
        <w:div w:id="1657343306">
          <w:marLeft w:val="720"/>
          <w:marRight w:val="0"/>
          <w:marTop w:val="0"/>
          <w:marBottom w:val="0"/>
          <w:divBdr>
            <w:top w:val="none" w:sz="0" w:space="0" w:color="auto"/>
            <w:left w:val="none" w:sz="0" w:space="0" w:color="auto"/>
            <w:bottom w:val="none" w:sz="0" w:space="0" w:color="auto"/>
            <w:right w:val="none" w:sz="0" w:space="0" w:color="auto"/>
          </w:divBdr>
        </w:div>
        <w:div w:id="1962226445">
          <w:marLeft w:val="720"/>
          <w:marRight w:val="0"/>
          <w:marTop w:val="0"/>
          <w:marBottom w:val="0"/>
          <w:divBdr>
            <w:top w:val="none" w:sz="0" w:space="0" w:color="auto"/>
            <w:left w:val="none" w:sz="0" w:space="0" w:color="auto"/>
            <w:bottom w:val="none" w:sz="0" w:space="0" w:color="auto"/>
            <w:right w:val="none" w:sz="0" w:space="0" w:color="auto"/>
          </w:divBdr>
        </w:div>
      </w:divsChild>
    </w:div>
    <w:div w:id="153377047">
      <w:bodyDiv w:val="1"/>
      <w:marLeft w:val="0"/>
      <w:marRight w:val="0"/>
      <w:marTop w:val="0"/>
      <w:marBottom w:val="0"/>
      <w:divBdr>
        <w:top w:val="none" w:sz="0" w:space="0" w:color="auto"/>
        <w:left w:val="none" w:sz="0" w:space="0" w:color="auto"/>
        <w:bottom w:val="none" w:sz="0" w:space="0" w:color="auto"/>
        <w:right w:val="none" w:sz="0" w:space="0" w:color="auto"/>
      </w:divBdr>
    </w:div>
    <w:div w:id="167600243">
      <w:bodyDiv w:val="1"/>
      <w:marLeft w:val="0"/>
      <w:marRight w:val="0"/>
      <w:marTop w:val="0"/>
      <w:marBottom w:val="0"/>
      <w:divBdr>
        <w:top w:val="none" w:sz="0" w:space="0" w:color="auto"/>
        <w:left w:val="none" w:sz="0" w:space="0" w:color="auto"/>
        <w:bottom w:val="none" w:sz="0" w:space="0" w:color="auto"/>
        <w:right w:val="none" w:sz="0" w:space="0" w:color="auto"/>
      </w:divBdr>
    </w:div>
    <w:div w:id="597449359">
      <w:bodyDiv w:val="1"/>
      <w:marLeft w:val="0"/>
      <w:marRight w:val="0"/>
      <w:marTop w:val="0"/>
      <w:marBottom w:val="0"/>
      <w:divBdr>
        <w:top w:val="none" w:sz="0" w:space="0" w:color="auto"/>
        <w:left w:val="none" w:sz="0" w:space="0" w:color="auto"/>
        <w:bottom w:val="none" w:sz="0" w:space="0" w:color="auto"/>
        <w:right w:val="none" w:sz="0" w:space="0" w:color="auto"/>
      </w:divBdr>
    </w:div>
    <w:div w:id="911811119">
      <w:bodyDiv w:val="1"/>
      <w:marLeft w:val="0"/>
      <w:marRight w:val="0"/>
      <w:marTop w:val="0"/>
      <w:marBottom w:val="0"/>
      <w:divBdr>
        <w:top w:val="none" w:sz="0" w:space="0" w:color="auto"/>
        <w:left w:val="none" w:sz="0" w:space="0" w:color="auto"/>
        <w:bottom w:val="none" w:sz="0" w:space="0" w:color="auto"/>
        <w:right w:val="none" w:sz="0" w:space="0" w:color="auto"/>
      </w:divBdr>
    </w:div>
    <w:div w:id="997463962">
      <w:bodyDiv w:val="1"/>
      <w:marLeft w:val="0"/>
      <w:marRight w:val="0"/>
      <w:marTop w:val="0"/>
      <w:marBottom w:val="0"/>
      <w:divBdr>
        <w:top w:val="none" w:sz="0" w:space="0" w:color="auto"/>
        <w:left w:val="none" w:sz="0" w:space="0" w:color="auto"/>
        <w:bottom w:val="none" w:sz="0" w:space="0" w:color="auto"/>
        <w:right w:val="none" w:sz="0" w:space="0" w:color="auto"/>
      </w:divBdr>
    </w:div>
    <w:div w:id="1081638171">
      <w:bodyDiv w:val="1"/>
      <w:marLeft w:val="0"/>
      <w:marRight w:val="0"/>
      <w:marTop w:val="0"/>
      <w:marBottom w:val="0"/>
      <w:divBdr>
        <w:top w:val="none" w:sz="0" w:space="0" w:color="auto"/>
        <w:left w:val="none" w:sz="0" w:space="0" w:color="auto"/>
        <w:bottom w:val="none" w:sz="0" w:space="0" w:color="auto"/>
        <w:right w:val="none" w:sz="0" w:space="0" w:color="auto"/>
      </w:divBdr>
    </w:div>
    <w:div w:id="1136878314">
      <w:bodyDiv w:val="1"/>
      <w:marLeft w:val="0"/>
      <w:marRight w:val="0"/>
      <w:marTop w:val="0"/>
      <w:marBottom w:val="0"/>
      <w:divBdr>
        <w:top w:val="none" w:sz="0" w:space="0" w:color="auto"/>
        <w:left w:val="none" w:sz="0" w:space="0" w:color="auto"/>
        <w:bottom w:val="none" w:sz="0" w:space="0" w:color="auto"/>
        <w:right w:val="none" w:sz="0" w:space="0" w:color="auto"/>
      </w:divBdr>
    </w:div>
    <w:div w:id="1311205257">
      <w:bodyDiv w:val="1"/>
      <w:marLeft w:val="0"/>
      <w:marRight w:val="0"/>
      <w:marTop w:val="0"/>
      <w:marBottom w:val="0"/>
      <w:divBdr>
        <w:top w:val="none" w:sz="0" w:space="0" w:color="auto"/>
        <w:left w:val="none" w:sz="0" w:space="0" w:color="auto"/>
        <w:bottom w:val="none" w:sz="0" w:space="0" w:color="auto"/>
        <w:right w:val="none" w:sz="0" w:space="0" w:color="auto"/>
      </w:divBdr>
    </w:div>
    <w:div w:id="1412312711">
      <w:bodyDiv w:val="1"/>
      <w:marLeft w:val="0"/>
      <w:marRight w:val="0"/>
      <w:marTop w:val="0"/>
      <w:marBottom w:val="0"/>
      <w:divBdr>
        <w:top w:val="none" w:sz="0" w:space="0" w:color="auto"/>
        <w:left w:val="none" w:sz="0" w:space="0" w:color="auto"/>
        <w:bottom w:val="none" w:sz="0" w:space="0" w:color="auto"/>
        <w:right w:val="none" w:sz="0" w:space="0" w:color="auto"/>
      </w:divBdr>
    </w:div>
    <w:div w:id="1442141017">
      <w:bodyDiv w:val="1"/>
      <w:marLeft w:val="0"/>
      <w:marRight w:val="0"/>
      <w:marTop w:val="0"/>
      <w:marBottom w:val="0"/>
      <w:divBdr>
        <w:top w:val="none" w:sz="0" w:space="0" w:color="auto"/>
        <w:left w:val="none" w:sz="0" w:space="0" w:color="auto"/>
        <w:bottom w:val="none" w:sz="0" w:space="0" w:color="auto"/>
        <w:right w:val="none" w:sz="0" w:space="0" w:color="auto"/>
      </w:divBdr>
    </w:div>
    <w:div w:id="1552231516">
      <w:bodyDiv w:val="1"/>
      <w:marLeft w:val="0"/>
      <w:marRight w:val="0"/>
      <w:marTop w:val="0"/>
      <w:marBottom w:val="0"/>
      <w:divBdr>
        <w:top w:val="none" w:sz="0" w:space="0" w:color="auto"/>
        <w:left w:val="none" w:sz="0" w:space="0" w:color="auto"/>
        <w:bottom w:val="none" w:sz="0" w:space="0" w:color="auto"/>
        <w:right w:val="none" w:sz="0" w:space="0" w:color="auto"/>
      </w:divBdr>
      <w:divsChild>
        <w:div w:id="1924096975">
          <w:marLeft w:val="720"/>
          <w:marRight w:val="0"/>
          <w:marTop w:val="240"/>
          <w:marBottom w:val="0"/>
          <w:divBdr>
            <w:top w:val="none" w:sz="0" w:space="0" w:color="auto"/>
            <w:left w:val="none" w:sz="0" w:space="0" w:color="auto"/>
            <w:bottom w:val="none" w:sz="0" w:space="0" w:color="auto"/>
            <w:right w:val="none" w:sz="0" w:space="0" w:color="auto"/>
          </w:divBdr>
        </w:div>
        <w:div w:id="1348822648">
          <w:marLeft w:val="720"/>
          <w:marRight w:val="0"/>
          <w:marTop w:val="240"/>
          <w:marBottom w:val="0"/>
          <w:divBdr>
            <w:top w:val="none" w:sz="0" w:space="0" w:color="auto"/>
            <w:left w:val="none" w:sz="0" w:space="0" w:color="auto"/>
            <w:bottom w:val="none" w:sz="0" w:space="0" w:color="auto"/>
            <w:right w:val="none" w:sz="0" w:space="0" w:color="auto"/>
          </w:divBdr>
        </w:div>
        <w:div w:id="1483279111">
          <w:marLeft w:val="720"/>
          <w:marRight w:val="0"/>
          <w:marTop w:val="240"/>
          <w:marBottom w:val="0"/>
          <w:divBdr>
            <w:top w:val="none" w:sz="0" w:space="0" w:color="auto"/>
            <w:left w:val="none" w:sz="0" w:space="0" w:color="auto"/>
            <w:bottom w:val="none" w:sz="0" w:space="0" w:color="auto"/>
            <w:right w:val="none" w:sz="0" w:space="0" w:color="auto"/>
          </w:divBdr>
        </w:div>
        <w:div w:id="1007903588">
          <w:marLeft w:val="1440"/>
          <w:marRight w:val="0"/>
          <w:marTop w:val="240"/>
          <w:marBottom w:val="0"/>
          <w:divBdr>
            <w:top w:val="none" w:sz="0" w:space="0" w:color="auto"/>
            <w:left w:val="none" w:sz="0" w:space="0" w:color="auto"/>
            <w:bottom w:val="none" w:sz="0" w:space="0" w:color="auto"/>
            <w:right w:val="none" w:sz="0" w:space="0" w:color="auto"/>
          </w:divBdr>
        </w:div>
        <w:div w:id="2011759131">
          <w:marLeft w:val="1440"/>
          <w:marRight w:val="0"/>
          <w:marTop w:val="240"/>
          <w:marBottom w:val="0"/>
          <w:divBdr>
            <w:top w:val="none" w:sz="0" w:space="0" w:color="auto"/>
            <w:left w:val="none" w:sz="0" w:space="0" w:color="auto"/>
            <w:bottom w:val="none" w:sz="0" w:space="0" w:color="auto"/>
            <w:right w:val="none" w:sz="0" w:space="0" w:color="auto"/>
          </w:divBdr>
        </w:div>
        <w:div w:id="970481067">
          <w:marLeft w:val="1440"/>
          <w:marRight w:val="0"/>
          <w:marTop w:val="240"/>
          <w:marBottom w:val="0"/>
          <w:divBdr>
            <w:top w:val="none" w:sz="0" w:space="0" w:color="auto"/>
            <w:left w:val="none" w:sz="0" w:space="0" w:color="auto"/>
            <w:bottom w:val="none" w:sz="0" w:space="0" w:color="auto"/>
            <w:right w:val="none" w:sz="0" w:space="0" w:color="auto"/>
          </w:divBdr>
        </w:div>
        <w:div w:id="2061663165">
          <w:marLeft w:val="1440"/>
          <w:marRight w:val="0"/>
          <w:marTop w:val="240"/>
          <w:marBottom w:val="0"/>
          <w:divBdr>
            <w:top w:val="none" w:sz="0" w:space="0" w:color="auto"/>
            <w:left w:val="none" w:sz="0" w:space="0" w:color="auto"/>
            <w:bottom w:val="none" w:sz="0" w:space="0" w:color="auto"/>
            <w:right w:val="none" w:sz="0" w:space="0" w:color="auto"/>
          </w:divBdr>
        </w:div>
        <w:div w:id="1830517704">
          <w:marLeft w:val="1440"/>
          <w:marRight w:val="0"/>
          <w:marTop w:val="240"/>
          <w:marBottom w:val="0"/>
          <w:divBdr>
            <w:top w:val="none" w:sz="0" w:space="0" w:color="auto"/>
            <w:left w:val="none" w:sz="0" w:space="0" w:color="auto"/>
            <w:bottom w:val="none" w:sz="0" w:space="0" w:color="auto"/>
            <w:right w:val="none" w:sz="0" w:space="0" w:color="auto"/>
          </w:divBdr>
        </w:div>
      </w:divsChild>
    </w:div>
    <w:div w:id="1617911673">
      <w:bodyDiv w:val="1"/>
      <w:marLeft w:val="0"/>
      <w:marRight w:val="0"/>
      <w:marTop w:val="0"/>
      <w:marBottom w:val="0"/>
      <w:divBdr>
        <w:top w:val="none" w:sz="0" w:space="0" w:color="auto"/>
        <w:left w:val="none" w:sz="0" w:space="0" w:color="auto"/>
        <w:bottom w:val="none" w:sz="0" w:space="0" w:color="auto"/>
        <w:right w:val="none" w:sz="0" w:space="0" w:color="auto"/>
      </w:divBdr>
      <w:divsChild>
        <w:div w:id="746637">
          <w:marLeft w:val="446"/>
          <w:marRight w:val="0"/>
          <w:marTop w:val="240"/>
          <w:marBottom w:val="0"/>
          <w:divBdr>
            <w:top w:val="none" w:sz="0" w:space="0" w:color="auto"/>
            <w:left w:val="none" w:sz="0" w:space="0" w:color="auto"/>
            <w:bottom w:val="none" w:sz="0" w:space="0" w:color="auto"/>
            <w:right w:val="none" w:sz="0" w:space="0" w:color="auto"/>
          </w:divBdr>
        </w:div>
        <w:div w:id="313604038">
          <w:marLeft w:val="446"/>
          <w:marRight w:val="0"/>
          <w:marTop w:val="240"/>
          <w:marBottom w:val="0"/>
          <w:divBdr>
            <w:top w:val="none" w:sz="0" w:space="0" w:color="auto"/>
            <w:left w:val="none" w:sz="0" w:space="0" w:color="auto"/>
            <w:bottom w:val="none" w:sz="0" w:space="0" w:color="auto"/>
            <w:right w:val="none" w:sz="0" w:space="0" w:color="auto"/>
          </w:divBdr>
        </w:div>
        <w:div w:id="938441393">
          <w:marLeft w:val="446"/>
          <w:marRight w:val="0"/>
          <w:marTop w:val="240"/>
          <w:marBottom w:val="0"/>
          <w:divBdr>
            <w:top w:val="none" w:sz="0" w:space="0" w:color="auto"/>
            <w:left w:val="none" w:sz="0" w:space="0" w:color="auto"/>
            <w:bottom w:val="none" w:sz="0" w:space="0" w:color="auto"/>
            <w:right w:val="none" w:sz="0" w:space="0" w:color="auto"/>
          </w:divBdr>
        </w:div>
        <w:div w:id="887036692">
          <w:marLeft w:val="446"/>
          <w:marRight w:val="0"/>
          <w:marTop w:val="240"/>
          <w:marBottom w:val="0"/>
          <w:divBdr>
            <w:top w:val="none" w:sz="0" w:space="0" w:color="auto"/>
            <w:left w:val="none" w:sz="0" w:space="0" w:color="auto"/>
            <w:bottom w:val="none" w:sz="0" w:space="0" w:color="auto"/>
            <w:right w:val="none" w:sz="0" w:space="0" w:color="auto"/>
          </w:divBdr>
        </w:div>
      </w:divsChild>
    </w:div>
    <w:div w:id="1775323697">
      <w:bodyDiv w:val="1"/>
      <w:marLeft w:val="0"/>
      <w:marRight w:val="0"/>
      <w:marTop w:val="0"/>
      <w:marBottom w:val="0"/>
      <w:divBdr>
        <w:top w:val="none" w:sz="0" w:space="0" w:color="auto"/>
        <w:left w:val="none" w:sz="0" w:space="0" w:color="auto"/>
        <w:bottom w:val="none" w:sz="0" w:space="0" w:color="auto"/>
        <w:right w:val="none" w:sz="0" w:space="0" w:color="auto"/>
      </w:divBdr>
    </w:div>
    <w:div w:id="1775779631">
      <w:bodyDiv w:val="1"/>
      <w:marLeft w:val="0"/>
      <w:marRight w:val="0"/>
      <w:marTop w:val="0"/>
      <w:marBottom w:val="0"/>
      <w:divBdr>
        <w:top w:val="none" w:sz="0" w:space="0" w:color="auto"/>
        <w:left w:val="none" w:sz="0" w:space="0" w:color="auto"/>
        <w:bottom w:val="none" w:sz="0" w:space="0" w:color="auto"/>
        <w:right w:val="none" w:sz="0" w:space="0" w:color="auto"/>
      </w:divBdr>
    </w:div>
    <w:div w:id="1776052976">
      <w:bodyDiv w:val="1"/>
      <w:marLeft w:val="0"/>
      <w:marRight w:val="0"/>
      <w:marTop w:val="0"/>
      <w:marBottom w:val="0"/>
      <w:divBdr>
        <w:top w:val="none" w:sz="0" w:space="0" w:color="auto"/>
        <w:left w:val="none" w:sz="0" w:space="0" w:color="auto"/>
        <w:bottom w:val="none" w:sz="0" w:space="0" w:color="auto"/>
        <w:right w:val="none" w:sz="0" w:space="0" w:color="auto"/>
      </w:divBdr>
    </w:div>
    <w:div w:id="1904101708">
      <w:bodyDiv w:val="1"/>
      <w:marLeft w:val="0"/>
      <w:marRight w:val="0"/>
      <w:marTop w:val="0"/>
      <w:marBottom w:val="0"/>
      <w:divBdr>
        <w:top w:val="none" w:sz="0" w:space="0" w:color="auto"/>
        <w:left w:val="none" w:sz="0" w:space="0" w:color="auto"/>
        <w:bottom w:val="none" w:sz="0" w:space="0" w:color="auto"/>
        <w:right w:val="none" w:sz="0" w:space="0" w:color="auto"/>
      </w:divBdr>
    </w:div>
    <w:div w:id="200573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SI%20USER\Desktop\FP1.7_Final%20Task\excel\Set%201_Postgress%20%23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Gadugi" panose="020B0502040204020203" pitchFamily="34" charset="0"/>
                <a:ea typeface="Gadugi" panose="020B0502040204020203" pitchFamily="34" charset="0"/>
              </a:rPr>
              <a:t>State</a:t>
            </a:r>
            <a:r>
              <a:rPr lang="en-US" b="1" baseline="0">
                <a:solidFill>
                  <a:sysClr val="windowText" lastClr="000000"/>
                </a:solidFill>
                <a:latin typeface="Gadugi" panose="020B0502040204020203" pitchFamily="34" charset="0"/>
                <a:ea typeface="Gadugi" panose="020B0502040204020203" pitchFamily="34" charset="0"/>
              </a:rPr>
              <a:t> Income vs Corruption Per Capita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'scatter chart'!$C$2</c:f>
              <c:strCache>
                <c:ptCount val="1"/>
                <c:pt idx="0">
                  <c:v>conviction_per_capita</c:v>
                </c:pt>
              </c:strCache>
            </c:strRef>
          </c:tx>
          <c:spPr>
            <a:ln w="25400" cap="rnd">
              <a:noFill/>
              <a:round/>
            </a:ln>
            <a:effectLst/>
          </c:spPr>
          <c:marker>
            <c:symbol val="x"/>
            <c:size val="5"/>
            <c:spPr>
              <a:noFill/>
              <a:ln w="19050">
                <a:solidFill>
                  <a:srgbClr val="7030A0"/>
                </a:solidFill>
              </a:ln>
              <a:effectLst/>
            </c:spPr>
          </c:marker>
          <c:xVal>
            <c:numRef>
              <c:f>'scatter chart'!$B$3:$B$52</c:f>
              <c:numCache>
                <c:formatCode>General</c:formatCode>
                <c:ptCount val="50"/>
                <c:pt idx="0">
                  <c:v>150619</c:v>
                </c:pt>
                <c:pt idx="1">
                  <c:v>151556</c:v>
                </c:pt>
                <c:pt idx="2">
                  <c:v>153680</c:v>
                </c:pt>
                <c:pt idx="3">
                  <c:v>161909</c:v>
                </c:pt>
                <c:pt idx="4">
                  <c:v>162868</c:v>
                </c:pt>
                <c:pt idx="5">
                  <c:v>164275</c:v>
                </c:pt>
                <c:pt idx="6">
                  <c:v>168368</c:v>
                </c:pt>
                <c:pt idx="7">
                  <c:v>171289</c:v>
                </c:pt>
                <c:pt idx="8">
                  <c:v>172105</c:v>
                </c:pt>
                <c:pt idx="9">
                  <c:v>172244</c:v>
                </c:pt>
                <c:pt idx="10">
                  <c:v>173028</c:v>
                </c:pt>
                <c:pt idx="11">
                  <c:v>173081</c:v>
                </c:pt>
                <c:pt idx="12">
                  <c:v>173375</c:v>
                </c:pt>
                <c:pt idx="13">
                  <c:v>175516</c:v>
                </c:pt>
                <c:pt idx="14">
                  <c:v>179253</c:v>
                </c:pt>
                <c:pt idx="15">
                  <c:v>179504</c:v>
                </c:pt>
                <c:pt idx="16">
                  <c:v>181021</c:v>
                </c:pt>
                <c:pt idx="17">
                  <c:v>182393</c:v>
                </c:pt>
                <c:pt idx="18">
                  <c:v>186809</c:v>
                </c:pt>
                <c:pt idx="19">
                  <c:v>187447</c:v>
                </c:pt>
                <c:pt idx="20">
                  <c:v>190086</c:v>
                </c:pt>
                <c:pt idx="21">
                  <c:v>190894</c:v>
                </c:pt>
                <c:pt idx="22">
                  <c:v>190945</c:v>
                </c:pt>
                <c:pt idx="23">
                  <c:v>192356</c:v>
                </c:pt>
                <c:pt idx="24">
                  <c:v>194139</c:v>
                </c:pt>
                <c:pt idx="25">
                  <c:v>199150</c:v>
                </c:pt>
                <c:pt idx="26">
                  <c:v>199723</c:v>
                </c:pt>
                <c:pt idx="27">
                  <c:v>201619</c:v>
                </c:pt>
                <c:pt idx="28">
                  <c:v>205338</c:v>
                </c:pt>
                <c:pt idx="29">
                  <c:v>209536</c:v>
                </c:pt>
                <c:pt idx="30">
                  <c:v>210571</c:v>
                </c:pt>
                <c:pt idx="31">
                  <c:v>214092</c:v>
                </c:pt>
                <c:pt idx="32">
                  <c:v>214908</c:v>
                </c:pt>
                <c:pt idx="33">
                  <c:v>215053</c:v>
                </c:pt>
                <c:pt idx="34">
                  <c:v>224328</c:v>
                </c:pt>
                <c:pt idx="35">
                  <c:v>229483</c:v>
                </c:pt>
                <c:pt idx="36">
                  <c:v>230518</c:v>
                </c:pt>
                <c:pt idx="37">
                  <c:v>232027</c:v>
                </c:pt>
                <c:pt idx="38">
                  <c:v>236451</c:v>
                </c:pt>
                <c:pt idx="39">
                  <c:v>242590</c:v>
                </c:pt>
                <c:pt idx="40">
                  <c:v>245370</c:v>
                </c:pt>
                <c:pt idx="41">
                  <c:v>245977</c:v>
                </c:pt>
                <c:pt idx="42">
                  <c:v>255322</c:v>
                </c:pt>
                <c:pt idx="43">
                  <c:v>256413</c:v>
                </c:pt>
                <c:pt idx="44">
                  <c:v>259309</c:v>
                </c:pt>
                <c:pt idx="45">
                  <c:v>261893</c:v>
                </c:pt>
                <c:pt idx="46">
                  <c:v>266367</c:v>
                </c:pt>
                <c:pt idx="47">
                  <c:v>267403</c:v>
                </c:pt>
                <c:pt idx="48">
                  <c:v>282737</c:v>
                </c:pt>
                <c:pt idx="49">
                  <c:v>299270</c:v>
                </c:pt>
              </c:numCache>
            </c:numRef>
          </c:xVal>
          <c:yVal>
            <c:numRef>
              <c:f>'scatter chart'!$C$3:$C$52</c:f>
              <c:numCache>
                <c:formatCode>General</c:formatCode>
                <c:ptCount val="50"/>
                <c:pt idx="0">
                  <c:v>2.14</c:v>
                </c:pt>
                <c:pt idx="1">
                  <c:v>2.4300000000000002</c:v>
                </c:pt>
                <c:pt idx="2">
                  <c:v>5.64</c:v>
                </c:pt>
                <c:pt idx="3">
                  <c:v>3.02</c:v>
                </c:pt>
                <c:pt idx="4">
                  <c:v>1.6</c:v>
                </c:pt>
                <c:pt idx="5">
                  <c:v>3.23</c:v>
                </c:pt>
                <c:pt idx="6">
                  <c:v>3.72</c:v>
                </c:pt>
                <c:pt idx="7">
                  <c:v>1.1200000000000001</c:v>
                </c:pt>
                <c:pt idx="8">
                  <c:v>2.15</c:v>
                </c:pt>
                <c:pt idx="9">
                  <c:v>1.0900000000000001</c:v>
                </c:pt>
                <c:pt idx="10">
                  <c:v>1.05</c:v>
                </c:pt>
                <c:pt idx="11">
                  <c:v>0.87</c:v>
                </c:pt>
                <c:pt idx="12">
                  <c:v>2.04</c:v>
                </c:pt>
                <c:pt idx="13">
                  <c:v>1.5</c:v>
                </c:pt>
                <c:pt idx="14">
                  <c:v>0.48</c:v>
                </c:pt>
                <c:pt idx="15">
                  <c:v>3.69</c:v>
                </c:pt>
                <c:pt idx="16">
                  <c:v>0.89</c:v>
                </c:pt>
                <c:pt idx="17">
                  <c:v>0.9</c:v>
                </c:pt>
                <c:pt idx="18">
                  <c:v>1.02</c:v>
                </c:pt>
                <c:pt idx="19">
                  <c:v>0.56999999999999995</c:v>
                </c:pt>
                <c:pt idx="20">
                  <c:v>0.56999999999999995</c:v>
                </c:pt>
                <c:pt idx="21">
                  <c:v>0.44</c:v>
                </c:pt>
                <c:pt idx="22">
                  <c:v>1.65</c:v>
                </c:pt>
                <c:pt idx="23">
                  <c:v>0.57999999999999996</c:v>
                </c:pt>
                <c:pt idx="24">
                  <c:v>1.03</c:v>
                </c:pt>
                <c:pt idx="25">
                  <c:v>1.6</c:v>
                </c:pt>
                <c:pt idx="26">
                  <c:v>1.63</c:v>
                </c:pt>
                <c:pt idx="27">
                  <c:v>1</c:v>
                </c:pt>
                <c:pt idx="28">
                  <c:v>1.4</c:v>
                </c:pt>
                <c:pt idx="29">
                  <c:v>1.82</c:v>
                </c:pt>
                <c:pt idx="30">
                  <c:v>1.0900000000000001</c:v>
                </c:pt>
                <c:pt idx="31">
                  <c:v>1.87</c:v>
                </c:pt>
                <c:pt idx="32">
                  <c:v>1.08</c:v>
                </c:pt>
                <c:pt idx="33">
                  <c:v>1.25</c:v>
                </c:pt>
                <c:pt idx="34">
                  <c:v>8.35</c:v>
                </c:pt>
                <c:pt idx="35">
                  <c:v>1.27</c:v>
                </c:pt>
                <c:pt idx="36">
                  <c:v>0.68</c:v>
                </c:pt>
                <c:pt idx="37">
                  <c:v>1.59</c:v>
                </c:pt>
                <c:pt idx="38">
                  <c:v>1.1299999999999999</c:v>
                </c:pt>
                <c:pt idx="39">
                  <c:v>0.8</c:v>
                </c:pt>
                <c:pt idx="40">
                  <c:v>0.43</c:v>
                </c:pt>
                <c:pt idx="41">
                  <c:v>1.06</c:v>
                </c:pt>
                <c:pt idx="42">
                  <c:v>0.51</c:v>
                </c:pt>
                <c:pt idx="43">
                  <c:v>2.5299999999999998</c:v>
                </c:pt>
                <c:pt idx="44">
                  <c:v>2.0099999999999998</c:v>
                </c:pt>
                <c:pt idx="45">
                  <c:v>1.57</c:v>
                </c:pt>
                <c:pt idx="46">
                  <c:v>2.27</c:v>
                </c:pt>
                <c:pt idx="47">
                  <c:v>1.0900000000000001</c:v>
                </c:pt>
                <c:pt idx="48">
                  <c:v>1.9</c:v>
                </c:pt>
                <c:pt idx="49">
                  <c:v>1.38</c:v>
                </c:pt>
              </c:numCache>
            </c:numRef>
          </c:yVal>
          <c:smooth val="0"/>
          <c:extLst>
            <c:ext xmlns:c16="http://schemas.microsoft.com/office/drawing/2014/chart" uri="{C3380CC4-5D6E-409C-BE32-E72D297353CC}">
              <c16:uniqueId val="{00000000-8DEB-4378-B435-208CD4AFA9B2}"/>
            </c:ext>
          </c:extLst>
        </c:ser>
        <c:dLbls>
          <c:showLegendKey val="0"/>
          <c:showVal val="0"/>
          <c:showCatName val="0"/>
          <c:showSerName val="0"/>
          <c:showPercent val="0"/>
          <c:showBubbleSize val="0"/>
        </c:dLbls>
        <c:axId val="327781224"/>
        <c:axId val="327781552"/>
      </c:scatterChart>
      <c:valAx>
        <c:axId val="327781224"/>
        <c:scaling>
          <c:orientation val="minMax"/>
          <c:max val="310000"/>
          <c:min val="14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0">
                    <a:solidFill>
                      <a:sysClr val="windowText" lastClr="000000"/>
                    </a:solidFill>
                    <a:latin typeface="Gadugi" panose="020B0502040204020203" pitchFamily="34" charset="0"/>
                    <a:ea typeface="Gadugi" panose="020B0502040204020203" pitchFamily="34" charset="0"/>
                  </a:rPr>
                  <a:t>Total</a:t>
                </a:r>
                <a:r>
                  <a:rPr lang="en-US" b="0" baseline="0">
                    <a:solidFill>
                      <a:sysClr val="windowText" lastClr="000000"/>
                    </a:solidFill>
                    <a:latin typeface="Gadugi" panose="020B0502040204020203" pitchFamily="34" charset="0"/>
                    <a:ea typeface="Gadugi" panose="020B0502040204020203" pitchFamily="34" charset="0"/>
                  </a:rPr>
                  <a:t> </a:t>
                </a:r>
                <a:r>
                  <a:rPr lang="en-US" b="0">
                    <a:solidFill>
                      <a:sysClr val="windowText" lastClr="000000"/>
                    </a:solidFill>
                    <a:latin typeface="Gadugi" panose="020B0502040204020203" pitchFamily="34" charset="0"/>
                    <a:ea typeface="Gadugi" panose="020B0502040204020203" pitchFamily="34" charset="0"/>
                  </a:rPr>
                  <a:t>State Income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n-US"/>
          </a:p>
        </c:txPr>
        <c:crossAx val="327781552"/>
        <c:crosses val="autoZero"/>
        <c:crossBetween val="midCat"/>
      </c:valAx>
      <c:valAx>
        <c:axId val="327781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0">
                    <a:solidFill>
                      <a:sysClr val="windowText" lastClr="000000"/>
                    </a:solidFill>
                    <a:latin typeface="Gadugi" panose="020B0502040204020203" pitchFamily="34" charset="0"/>
                    <a:ea typeface="Gadugi" panose="020B0502040204020203" pitchFamily="34" charset="0"/>
                  </a:rPr>
                  <a:t>Conviction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277812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2023-07-23T08:25:00Z</dcterms:created>
  <dcterms:modified xsi:type="dcterms:W3CDTF">2023-07-23T11:03:00Z</dcterms:modified>
</cp:coreProperties>
</file>