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A277" w14:textId="48552651" w:rsidR="00D3667B" w:rsidRDefault="00D3667B" w:rsidP="00D3667B">
      <w:pPr>
        <w:pStyle w:val="NormalWeb"/>
      </w:pPr>
      <w:r>
        <w:t>Data source: Philadelphia Vital Statistics mortality database (2012–2024)</w:t>
      </w:r>
    </w:p>
    <w:p w14:paraId="53E3A5FE" w14:textId="7EACBD4C" w:rsidR="00D3667B" w:rsidRDefault="00D3667B" w:rsidP="00D3667B">
      <w:pPr>
        <w:pStyle w:val="NormalWeb"/>
      </w:pPr>
      <w:r>
        <w:t>Contextual datasets: vaccination doses, fentanyl introduction (2014), naloxone interventions, COVID-19 pandemic onset (2020)</w:t>
      </w:r>
    </w:p>
    <w:p w14:paraId="5F63D74A" w14:textId="7D373B4B" w:rsidR="00D3667B" w:rsidRDefault="00D3667B" w:rsidP="00D3667B">
      <w:pPr>
        <w:pStyle w:val="NormalWeb"/>
      </w:pPr>
      <w:r>
        <w:t>Research question: Do crises + interventions intensify disparities (age, race, gender)?</w:t>
      </w:r>
    </w:p>
    <w:p w14:paraId="14471FCE" w14:textId="3E38E88B" w:rsidR="00D3667B" w:rsidRDefault="00D3667B" w:rsidP="00D3667B">
      <w:pPr>
        <w:pStyle w:val="NormalWeb"/>
      </w:pPr>
      <w:r>
        <w:t>Key interventions:</w:t>
      </w:r>
    </w:p>
    <w:p w14:paraId="079BE739" w14:textId="77777777" w:rsidR="00D3667B" w:rsidRDefault="00D3667B" w:rsidP="00D3667B">
      <w:pPr>
        <w:pStyle w:val="NormalWeb"/>
        <w:ind w:left="720"/>
      </w:pPr>
      <w:r>
        <w:t>COVID vaccination rollout (2020 onward)</w:t>
      </w:r>
    </w:p>
    <w:p w14:paraId="030230D4" w14:textId="77777777" w:rsidR="00D3667B" w:rsidRDefault="00D3667B" w:rsidP="00D3667B">
      <w:pPr>
        <w:pStyle w:val="NormalWeb"/>
        <w:ind w:left="720"/>
      </w:pPr>
      <w:r>
        <w:t>Naloxone distribution milestones: 2017 (first responders), 2022 (vending machines), 2023 (OTC availability)</w:t>
      </w:r>
    </w:p>
    <w:p w14:paraId="0617F48F" w14:textId="2F4698E2" w:rsidR="00D3667B" w:rsidRDefault="00D3667B" w:rsidP="00D3667B">
      <w:pPr>
        <w:pStyle w:val="NormalWeb"/>
      </w:pPr>
      <w:r>
        <w:t>Interdisciplinary approach: public health, epidemiology, biostatistics, informatics, social science</w:t>
      </w:r>
    </w:p>
    <w:p w14:paraId="600DC6A0" w14:textId="68E9A07A" w:rsidR="00D3667B" w:rsidRDefault="00D3667B" w:rsidP="00D3667B">
      <w:pPr>
        <w:pStyle w:val="NormalWeb"/>
      </w:pPr>
      <w:r>
        <w:t>Faculty guidance:</w:t>
      </w:r>
    </w:p>
    <w:p w14:paraId="0B89CD34" w14:textId="77777777" w:rsidR="00D3667B" w:rsidRDefault="00D3667B" w:rsidP="00D3667B">
      <w:pPr>
        <w:pStyle w:val="NormalWeb"/>
        <w:ind w:left="720"/>
      </w:pPr>
      <w:r>
        <w:t>Dr. Do → hypothesis-driven analysis</w:t>
      </w:r>
    </w:p>
    <w:p w14:paraId="4091F0FF" w14:textId="77777777" w:rsidR="00D3667B" w:rsidRDefault="00D3667B" w:rsidP="00D3667B">
      <w:pPr>
        <w:pStyle w:val="NormalWeb"/>
        <w:ind w:left="720"/>
      </w:pPr>
      <w:r>
        <w:t xml:space="preserve">Dr. </w:t>
      </w:r>
      <w:proofErr w:type="spellStart"/>
      <w:r>
        <w:t>Damrauer</w:t>
      </w:r>
      <w:proofErr w:type="spellEnd"/>
      <w:r>
        <w:t xml:space="preserve"> → natural experiment framing</w:t>
      </w:r>
    </w:p>
    <w:p w14:paraId="55010423" w14:textId="4ED4EB8F" w:rsidR="00D3667B" w:rsidRPr="00D3667B" w:rsidRDefault="00D3667B" w:rsidP="00D3667B">
      <w:pPr>
        <w:pStyle w:val="NormalWeb"/>
        <w:rPr>
          <w:color w:val="000000"/>
          <w:sz w:val="20"/>
          <w:szCs w:val="20"/>
        </w:rPr>
      </w:pPr>
      <w:r w:rsidRPr="00D3667B">
        <w:rPr>
          <w:rStyle w:val="Strong"/>
          <w:rFonts w:eastAsiaTheme="majorEastAsia"/>
          <w:color w:val="000000"/>
          <w:sz w:val="20"/>
          <w:szCs w:val="20"/>
        </w:rPr>
        <w:t>Multiple Opioid Interventions in ITS</w:t>
      </w:r>
      <w:r w:rsidRPr="00D3667B">
        <w:rPr>
          <w:color w:val="000000"/>
          <w:sz w:val="20"/>
          <w:szCs w:val="20"/>
        </w:rPr>
        <w:t xml:space="preserve">: </w:t>
      </w:r>
      <w:r w:rsidRPr="00D3667B">
        <w:rPr>
          <w:color w:val="000000"/>
          <w:sz w:val="20"/>
          <w:szCs w:val="20"/>
        </w:rPr>
        <w:t>We applied Interrupted Time Series (ITS) regression to annual unintentional drug overdose deaths in Philadelphia, using them as a proxy for opioid mortality. Intervention years were defined as 2014 (fentanyl surge), 2017 (Narcan distribution), 2022 (Narcan vending machines), and 2023 (OTC Narcan availability). For each intervention, dummy indicators captured immediate level changes, and slope variables captured changes in trajectory after the intervention. A linear regression model including all terms was fit, and fitted values were plotted against observed deaths with vertical dashed lines marking intervention years.</w:t>
      </w:r>
    </w:p>
    <w:p w14:paraId="23088D28" w14:textId="77777777" w:rsidR="00D3667B" w:rsidRPr="00D3667B" w:rsidRDefault="00D3667B" w:rsidP="00D3667B">
      <w:pPr>
        <w:pStyle w:val="NormalWeb"/>
        <w:rPr>
          <w:color w:val="000000"/>
          <w:sz w:val="20"/>
          <w:szCs w:val="20"/>
        </w:rPr>
      </w:pPr>
      <w:r w:rsidRPr="00D3667B">
        <w:rPr>
          <w:color w:val="000000"/>
          <w:sz w:val="20"/>
          <w:szCs w:val="20"/>
        </w:rPr>
        <w:t>The model explained nearly all variation in overdose deaths (R² ≈ 0.99, adjusted R² ≈ 0.96) with a highly significant overall fit. Results show that the 2017 Narcan distribution was associated with a positive level change (≈ 213, marginally significant), while the 2022 vending machine rollout produced both a large immediate increase (≈ 423, p &lt; 0.05) and a significant negative slope thereafter (≈ -356, p &lt; 0.05), suggesting deaths rose sharply but then declined. The 2014 fentanyl surge and 2023 OTC Narcan availability showed weaker or non</w:t>
      </w:r>
      <w:r w:rsidRPr="00D3667B">
        <w:rPr>
          <w:color w:val="000000"/>
          <w:sz w:val="20"/>
          <w:szCs w:val="20"/>
        </w:rPr>
        <w:noBreakHyphen/>
        <w:t>significant effects. Some slope terms were dropped due to collinearity, reflecting limited annual data points.</w:t>
      </w:r>
    </w:p>
    <w:p w14:paraId="1A1BF43A" w14:textId="77777777" w:rsidR="00D3667B" w:rsidRDefault="00D3667B" w:rsidP="00D3667B">
      <w:pPr>
        <w:pStyle w:val="NormalWeb"/>
        <w:rPr>
          <w:color w:val="000000"/>
          <w:sz w:val="20"/>
          <w:szCs w:val="20"/>
        </w:rPr>
      </w:pPr>
      <w:r w:rsidRPr="00D3667B">
        <w:rPr>
          <w:color w:val="000000"/>
          <w:sz w:val="20"/>
          <w:szCs w:val="20"/>
        </w:rPr>
        <w:t>Taken together, these findings indicate that opioid interventions in 2017 and 2022 coincided with meaningful shifts in overdose mortality patterns, while other milestones had less measurable impact. ITS provides a structured way to detect both sharp disruptions and gradual changes in mortality trends, though results must be interpreted cautiously given data granularity and overlapping events.</w:t>
      </w:r>
    </w:p>
    <w:p w14:paraId="4B68089B" w14:textId="77777777" w:rsidR="00D3667B" w:rsidRDefault="00D3667B" w:rsidP="00D3667B">
      <w:pPr>
        <w:pStyle w:val="NormalWeb"/>
        <w:rPr>
          <w:color w:val="000000"/>
          <w:sz w:val="20"/>
          <w:szCs w:val="20"/>
        </w:rPr>
      </w:pPr>
    </w:p>
    <w:p w14:paraId="37B75DC8" w14:textId="024A17AD" w:rsidR="00D3667B" w:rsidRPr="00D3667B" w:rsidRDefault="00D3667B" w:rsidP="00D3667B">
      <w:pPr>
        <w:spacing w:before="100" w:beforeAutospacing="1" w:after="100" w:afterAutospacing="1" w:line="240" w:lineRule="auto"/>
        <w:outlineLvl w:val="1"/>
        <w:rPr>
          <w:rFonts w:ascii="Times New Roman" w:eastAsia="Times New Roman" w:hAnsi="Times New Roman" w:cs="Times New Roman"/>
          <w:b/>
          <w:bCs/>
          <w:i/>
          <w:iCs/>
          <w:color w:val="000000"/>
          <w:kern w:val="0"/>
          <w:sz w:val="20"/>
          <w:szCs w:val="20"/>
          <w14:ligatures w14:val="none"/>
        </w:rPr>
      </w:pPr>
      <w:r w:rsidRPr="00D3667B">
        <w:rPr>
          <w:rFonts w:ascii="Times New Roman" w:eastAsia="Times New Roman" w:hAnsi="Times New Roman" w:cs="Times New Roman"/>
          <w:b/>
          <w:bCs/>
          <w:i/>
          <w:iCs/>
          <w:color w:val="000000"/>
          <w:kern w:val="0"/>
          <w:sz w:val="20"/>
          <w:szCs w:val="20"/>
          <w14:ligatures w14:val="none"/>
        </w:rPr>
        <w:t>Narrative Interpretation of the Plots</w:t>
      </w:r>
    </w:p>
    <w:p w14:paraId="1095A11F" w14:textId="34C2A354" w:rsidR="00D3667B" w:rsidRPr="00D3667B" w:rsidRDefault="00D3667B" w:rsidP="00D3667B">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3667B">
        <w:rPr>
          <w:rFonts w:ascii="Times New Roman" w:eastAsia="Times New Roman" w:hAnsi="Times New Roman" w:cs="Times New Roman"/>
          <w:b/>
          <w:bCs/>
          <w:color w:val="000000"/>
          <w:kern w:val="0"/>
          <w:sz w:val="20"/>
          <w:szCs w:val="20"/>
          <w14:ligatures w14:val="none"/>
        </w:rPr>
        <w:t>Deaths by Age Group</w:t>
      </w:r>
      <w:r w:rsidRPr="00D3667B">
        <w:rPr>
          <w:rFonts w:ascii="Times New Roman" w:eastAsia="Times New Roman" w:hAnsi="Times New Roman" w:cs="Times New Roman"/>
          <w:b/>
          <w:bCs/>
          <w:color w:val="000000"/>
          <w:kern w:val="0"/>
          <w:sz w:val="20"/>
          <w:szCs w:val="20"/>
          <w14:ligatures w14:val="none"/>
        </w:rPr>
        <w:t>:</w:t>
      </w:r>
      <w:r w:rsidRPr="00D3667B">
        <w:rPr>
          <w:rFonts w:ascii="Times New Roman" w:eastAsia="Times New Roman" w:hAnsi="Times New Roman" w:cs="Times New Roman"/>
          <w:color w:val="000000"/>
          <w:kern w:val="0"/>
          <w:sz w:val="20"/>
          <w:szCs w:val="20"/>
          <w14:ligatures w14:val="none"/>
        </w:rPr>
        <w:t> The age</w:t>
      </w:r>
      <w:r w:rsidRPr="00D3667B">
        <w:rPr>
          <w:rFonts w:ascii="Times New Roman" w:eastAsia="Times New Roman" w:hAnsi="Times New Roman" w:cs="Times New Roman"/>
          <w:color w:val="000000"/>
          <w:kern w:val="0"/>
          <w:sz w:val="20"/>
          <w:szCs w:val="20"/>
          <w14:ligatures w14:val="none"/>
        </w:rPr>
        <w:noBreakHyphen/>
        <w:t>group plot shows clear differences in mortality burden across categories. After the 2014 fentanyl surge, deaths rose most sharply among prime adult age groups (25–44 and 45–64), reflecting the increased lethality of synthetic opioids. The 2017 Narcan distribution coincided with a modest slowing in growth, but the 2020 COVID onset disrupted this trend, with deaths spiking across nearly all age groups. By 2021–2022, the rollout of COVID vaccines helped stabilize mortality among older adults, though younger and middle</w:t>
      </w:r>
      <w:r w:rsidRPr="00D3667B">
        <w:rPr>
          <w:rFonts w:ascii="Times New Roman" w:eastAsia="Times New Roman" w:hAnsi="Times New Roman" w:cs="Times New Roman"/>
          <w:color w:val="000000"/>
          <w:kern w:val="0"/>
          <w:sz w:val="20"/>
          <w:szCs w:val="20"/>
          <w14:ligatures w14:val="none"/>
        </w:rPr>
        <w:noBreakHyphen/>
        <w:t xml:space="preserve">aged groups </w:t>
      </w:r>
      <w:r w:rsidRPr="00D3667B">
        <w:rPr>
          <w:rFonts w:ascii="Times New Roman" w:eastAsia="Times New Roman" w:hAnsi="Times New Roman" w:cs="Times New Roman"/>
          <w:color w:val="000000"/>
          <w:kern w:val="0"/>
          <w:sz w:val="20"/>
          <w:szCs w:val="20"/>
          <w14:ligatures w14:val="none"/>
        </w:rPr>
        <w:lastRenderedPageBreak/>
        <w:t>continued to bear a disproportionate burden. By 2022–2023, despite new interventions like Narcan vending machines and OTC Narcan availability, interventions were not sufficient to offset the combined opioid and pandemic pressures.</w:t>
      </w:r>
    </w:p>
    <w:p w14:paraId="5752D61C" w14:textId="2A0096DF" w:rsidR="00D3667B" w:rsidRPr="00D3667B" w:rsidRDefault="00D3667B" w:rsidP="00D3667B">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3667B">
        <w:rPr>
          <w:rFonts w:ascii="Times New Roman" w:eastAsia="Times New Roman" w:hAnsi="Times New Roman" w:cs="Times New Roman"/>
          <w:b/>
          <w:bCs/>
          <w:color w:val="000000"/>
          <w:kern w:val="0"/>
          <w:sz w:val="20"/>
          <w:szCs w:val="20"/>
          <w14:ligatures w14:val="none"/>
        </w:rPr>
        <w:t>Deaths by Race/Ethnicity</w:t>
      </w:r>
      <w:r w:rsidRPr="00D3667B">
        <w:rPr>
          <w:rFonts w:ascii="Times New Roman" w:eastAsia="Times New Roman" w:hAnsi="Times New Roman" w:cs="Times New Roman"/>
          <w:b/>
          <w:bCs/>
          <w:color w:val="000000"/>
          <w:kern w:val="0"/>
          <w:sz w:val="20"/>
          <w:szCs w:val="20"/>
          <w14:ligatures w14:val="none"/>
        </w:rPr>
        <w:t>:</w:t>
      </w:r>
      <w:r w:rsidRPr="00D3667B">
        <w:rPr>
          <w:rFonts w:ascii="Times New Roman" w:eastAsia="Times New Roman" w:hAnsi="Times New Roman" w:cs="Times New Roman"/>
          <w:color w:val="000000"/>
          <w:kern w:val="0"/>
          <w:sz w:val="20"/>
          <w:szCs w:val="20"/>
          <w14:ligatures w14:val="none"/>
        </w:rPr>
        <w:t> The race/ethnicity plot highlights disparities across groups. Following the 2014 fentanyl surge, mortality rose steeply among White populations, but by the 2020 COVID onset, Black and Hispanic populations also experienced sharp increases. The 2021–2022 vaccine rollout contributed to declines in COVID</w:t>
      </w:r>
      <w:r w:rsidRPr="00D3667B">
        <w:rPr>
          <w:rFonts w:ascii="Times New Roman" w:eastAsia="Times New Roman" w:hAnsi="Times New Roman" w:cs="Times New Roman"/>
          <w:color w:val="000000"/>
          <w:kern w:val="0"/>
          <w:sz w:val="20"/>
          <w:szCs w:val="20"/>
          <w14:ligatures w14:val="none"/>
        </w:rPr>
        <w:noBreakHyphen/>
        <w:t>related mortality, particularly among groups with higher vaccination coverage, but disparities persisted where access and uptake were uneven. The 2022–2023 opioid interventions appear to have stabilized deaths somewhat among White populations, while minority groups continued to face structural risk factors and uneven intervention benefits.</w:t>
      </w:r>
    </w:p>
    <w:p w14:paraId="1FECE4B0" w14:textId="73A8BC2E" w:rsidR="00D3667B" w:rsidRPr="00D3667B" w:rsidRDefault="00D3667B" w:rsidP="00D3667B">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3667B">
        <w:rPr>
          <w:rFonts w:ascii="Times New Roman" w:eastAsia="Times New Roman" w:hAnsi="Times New Roman" w:cs="Times New Roman"/>
          <w:b/>
          <w:bCs/>
          <w:color w:val="000000"/>
          <w:kern w:val="0"/>
          <w:sz w:val="20"/>
          <w:szCs w:val="20"/>
          <w14:ligatures w14:val="none"/>
        </w:rPr>
        <w:t>Deaths by Sex</w:t>
      </w:r>
      <w:r w:rsidRPr="00D3667B">
        <w:rPr>
          <w:rFonts w:ascii="Times New Roman" w:eastAsia="Times New Roman" w:hAnsi="Times New Roman" w:cs="Times New Roman"/>
          <w:b/>
          <w:bCs/>
          <w:color w:val="000000"/>
          <w:kern w:val="0"/>
          <w:sz w:val="20"/>
          <w:szCs w:val="20"/>
          <w14:ligatures w14:val="none"/>
        </w:rPr>
        <w:t>:</w:t>
      </w:r>
      <w:r w:rsidRPr="00D3667B">
        <w:rPr>
          <w:rFonts w:ascii="Times New Roman" w:eastAsia="Times New Roman" w:hAnsi="Times New Roman" w:cs="Times New Roman"/>
          <w:color w:val="000000"/>
          <w:kern w:val="0"/>
          <w:sz w:val="20"/>
          <w:szCs w:val="20"/>
          <w14:ligatures w14:val="none"/>
        </w:rPr>
        <w:t> The sex</w:t>
      </w:r>
      <w:r w:rsidRPr="00D3667B">
        <w:rPr>
          <w:rFonts w:ascii="Times New Roman" w:eastAsia="Times New Roman" w:hAnsi="Times New Roman" w:cs="Times New Roman"/>
          <w:color w:val="000000"/>
          <w:kern w:val="0"/>
          <w:sz w:val="20"/>
          <w:szCs w:val="20"/>
          <w14:ligatures w14:val="none"/>
        </w:rPr>
        <w:noBreakHyphen/>
        <w:t>based plot shows consistently higher mortality among males compared to females across all years. The 2014 fentanyl surge widened this gap, and while the 2017 Narcan distribution provided some relief, the 2020 COVID onset again amplified male mortality. The 2021–2022 vaccine rollout reduced COVID</w:t>
      </w:r>
      <w:r w:rsidRPr="00D3667B">
        <w:rPr>
          <w:rFonts w:ascii="Times New Roman" w:eastAsia="Times New Roman" w:hAnsi="Times New Roman" w:cs="Times New Roman"/>
          <w:color w:val="000000"/>
          <w:kern w:val="0"/>
          <w:sz w:val="20"/>
          <w:szCs w:val="20"/>
          <w14:ligatures w14:val="none"/>
        </w:rPr>
        <w:noBreakHyphen/>
        <w:t>related deaths in both sexes, but the male–female disparity remained pronounced due to higher baseline male mortality. By 2022–2023, interventions like Narcan vending machines and OTC Narcan helped slow growth, but sex</w:t>
      </w:r>
      <w:r w:rsidRPr="00D3667B">
        <w:rPr>
          <w:rFonts w:ascii="Times New Roman" w:eastAsia="Times New Roman" w:hAnsi="Times New Roman" w:cs="Times New Roman"/>
          <w:color w:val="000000"/>
          <w:kern w:val="0"/>
          <w:sz w:val="20"/>
          <w:szCs w:val="20"/>
          <w14:ligatures w14:val="none"/>
        </w:rPr>
        <w:noBreakHyphen/>
        <w:t>based differences persisted, underscoring the need for targeted strategies.</w:t>
      </w:r>
    </w:p>
    <w:p w14:paraId="4B3DC0AD" w14:textId="77777777" w:rsidR="00D3667B" w:rsidRPr="00D3667B" w:rsidRDefault="00D3667B" w:rsidP="00D3667B">
      <w:pPr>
        <w:pStyle w:val="NormalWeb"/>
        <w:rPr>
          <w:color w:val="000000"/>
          <w:sz w:val="20"/>
          <w:szCs w:val="20"/>
        </w:rPr>
      </w:pPr>
    </w:p>
    <w:p w14:paraId="3FD337BF" w14:textId="77777777" w:rsidR="00D3667B" w:rsidRPr="00D3667B" w:rsidRDefault="00D3667B" w:rsidP="00D3667B">
      <w:pPr>
        <w:spacing w:before="100" w:beforeAutospacing="1" w:after="100" w:afterAutospacing="1" w:line="240" w:lineRule="auto"/>
        <w:outlineLvl w:val="1"/>
        <w:rPr>
          <w:rFonts w:ascii="Times New Roman" w:eastAsia="Times New Roman" w:hAnsi="Times New Roman" w:cs="Times New Roman"/>
          <w:b/>
          <w:bCs/>
          <w:i/>
          <w:iCs/>
          <w:kern w:val="0"/>
          <w:sz w:val="20"/>
          <w:szCs w:val="20"/>
          <w14:ligatures w14:val="none"/>
        </w:rPr>
      </w:pPr>
      <w:r w:rsidRPr="00D3667B">
        <w:rPr>
          <w:rFonts w:ascii="Times New Roman" w:eastAsia="Times New Roman" w:hAnsi="Times New Roman" w:cs="Times New Roman"/>
          <w:b/>
          <w:bCs/>
          <w:i/>
          <w:iCs/>
          <w:kern w:val="0"/>
          <w:sz w:val="20"/>
          <w:szCs w:val="20"/>
          <w14:ligatures w14:val="none"/>
        </w:rPr>
        <w:t>Statistical Modeling</w:t>
      </w:r>
    </w:p>
    <w:p w14:paraId="12901C93" w14:textId="77777777" w:rsidR="00D3667B" w:rsidRPr="00D3667B" w:rsidRDefault="00D3667B" w:rsidP="00D3667B">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D3667B">
        <w:rPr>
          <w:rFonts w:ascii="Times New Roman" w:eastAsia="Times New Roman" w:hAnsi="Times New Roman" w:cs="Times New Roman"/>
          <w:b/>
          <w:bCs/>
          <w:kern w:val="0"/>
          <w:sz w:val="20"/>
          <w:szCs w:val="20"/>
          <w14:ligatures w14:val="none"/>
        </w:rPr>
        <w:t>Interpreting Poisson Regression of Mortality Counts with Demographics and Public Health Interventions</w:t>
      </w:r>
    </w:p>
    <w:p w14:paraId="3DF34608" w14:textId="085DA565" w:rsidR="00D3667B" w:rsidRDefault="00D3667B" w:rsidP="00D3667B">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D3667B">
        <w:rPr>
          <w:rFonts w:ascii="Times New Roman" w:eastAsia="Times New Roman" w:hAnsi="Times New Roman" w:cs="Times New Roman"/>
          <w:b/>
          <w:bCs/>
          <w:kern w:val="0"/>
          <w:sz w:val="20"/>
          <w:szCs w:val="20"/>
          <w14:ligatures w14:val="none"/>
        </w:rPr>
        <w:t>Extracting Rate Ratios from Poisson Regression</w:t>
      </w:r>
    </w:p>
    <w:p w14:paraId="079E6727" w14:textId="77777777" w:rsidR="00D3667B" w:rsidRPr="00D3667B" w:rsidRDefault="00D3667B" w:rsidP="00D36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67B">
        <w:rPr>
          <w:rFonts w:ascii="Times New Roman" w:eastAsia="Times New Roman" w:hAnsi="Times New Roman" w:cs="Times New Roman"/>
          <w:b/>
          <w:bCs/>
          <w:kern w:val="0"/>
          <w:sz w:val="36"/>
          <w:szCs w:val="36"/>
          <w14:ligatures w14:val="none"/>
        </w:rPr>
        <w:t>Title: </w:t>
      </w:r>
      <w:r w:rsidRPr="00D3667B">
        <w:rPr>
          <w:rFonts w:ascii="Times New Roman" w:eastAsia="Times New Roman" w:hAnsi="Times New Roman" w:cs="Times New Roman"/>
          <w:b/>
          <w:bCs/>
          <w:kern w:val="0"/>
          <w:sz w:val="20"/>
          <w:szCs w:val="20"/>
          <w14:ligatures w14:val="none"/>
        </w:rPr>
        <w:t>Rate Ratios from Poisson Regression of Mortality Counts</w:t>
      </w:r>
    </w:p>
    <w:p w14:paraId="1C3DB6CC" w14:textId="2F2D568C" w:rsidR="00D3667B" w:rsidRPr="00D3667B" w:rsidRDefault="00D3667B" w:rsidP="00D3667B">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D3667B">
        <w:rPr>
          <w:rFonts w:ascii="Times New Roman" w:eastAsia="Times New Roman" w:hAnsi="Times New Roman" w:cs="Times New Roman"/>
          <w:b/>
          <w:bCs/>
          <w:kern w:val="0"/>
          <w:sz w:val="27"/>
          <w:szCs w:val="27"/>
          <w14:ligatures w14:val="none"/>
        </w:rPr>
        <w:t>Title: </w:t>
      </w:r>
      <w:r w:rsidRPr="00D3667B">
        <w:rPr>
          <w:rFonts w:ascii="Times New Roman" w:eastAsia="Times New Roman" w:hAnsi="Times New Roman" w:cs="Times New Roman"/>
          <w:b/>
          <w:bCs/>
          <w:kern w:val="0"/>
          <w:sz w:val="20"/>
          <w:szCs w:val="20"/>
          <w14:ligatures w14:val="none"/>
        </w:rPr>
        <w:t>Interpreting Negative Binomial Regression of Mortality Counts with Demographics and Public Health Interventions</w:t>
      </w:r>
      <w:r w:rsidRPr="00D3667B">
        <w:rPr>
          <w:rFonts w:ascii="-webkit-standard" w:hAnsi="-webkit-standard"/>
          <w:color w:val="000000"/>
          <w:sz w:val="27"/>
          <w:szCs w:val="27"/>
        </w:rPr>
        <w:t xml:space="preserve"> </w:t>
      </w:r>
      <w:r w:rsidRPr="00D3667B">
        <w:rPr>
          <w:rFonts w:ascii="-webkit-standard" w:hAnsi="-webkit-standard"/>
          <w:color w:val="000000"/>
          <w:sz w:val="20"/>
          <w:szCs w:val="20"/>
        </w:rPr>
        <w:t>Forest Plot of Intervention Effects on Mortality</w:t>
      </w:r>
    </w:p>
    <w:p w14:paraId="41BF6713" w14:textId="02D0AB7C" w:rsidR="00D3667B" w:rsidRDefault="00D3667B" w:rsidP="00D3667B">
      <w:pPr>
        <w:pStyle w:val="NormalWeb"/>
        <w:ind w:left="720"/>
      </w:pPr>
      <w:r w:rsidRPr="00D3667B">
        <w:t xml:space="preserve">The is the narrative </w:t>
      </w:r>
      <w:proofErr w:type="spellStart"/>
      <w:r w:rsidRPr="00D3667B">
        <w:t>i</w:t>
      </w:r>
      <w:proofErr w:type="spellEnd"/>
      <w:r w:rsidRPr="00D3667B">
        <w:t xml:space="preserve"> am using to describe this step and show the statistics and results, can you highlight can correct the narrative for any errors:</w:t>
      </w:r>
    </w:p>
    <w:p w14:paraId="0064428C" w14:textId="3B5A7B6E" w:rsidR="00D3667B" w:rsidRDefault="00D3667B" w:rsidP="00D3667B">
      <w:pPr>
        <w:pStyle w:val="NormalWeb"/>
        <w:ind w:left="720"/>
      </w:pPr>
      <w:r w:rsidRPr="00D3667B">
        <w:t>Yes, update my Hypothesis vs. Findings chart with these forest plot results so everything is aligned in one place? Can you also update my conclusion and slide ready conclusion if necessary</w:t>
      </w:r>
    </w:p>
    <w:p w14:paraId="7D05AA3A" w14:textId="110186F8" w:rsidR="00D3667B" w:rsidRPr="00D3667B" w:rsidRDefault="00D3667B" w:rsidP="00D3667B">
      <w:pPr>
        <w:pStyle w:val="NormalWeb"/>
        <w:ind w:left="720"/>
        <w:rPr>
          <w:b/>
          <w:bCs/>
          <w:i/>
          <w:iCs/>
          <w:sz w:val="20"/>
          <w:szCs w:val="20"/>
        </w:rPr>
      </w:pPr>
      <w:r w:rsidRPr="00D3667B">
        <w:rPr>
          <w:rStyle w:val="Emphasis"/>
          <w:rFonts w:eastAsiaTheme="majorEastAsia"/>
          <w:b/>
          <w:bCs/>
          <w:i w:val="0"/>
          <w:iCs w:val="0"/>
          <w:color w:val="000000"/>
          <w:sz w:val="20"/>
          <w:szCs w:val="20"/>
        </w:rPr>
        <w:t>Demographic Variation in COVID</w:t>
      </w:r>
      <w:r w:rsidRPr="00D3667B">
        <w:rPr>
          <w:rStyle w:val="Emphasis"/>
          <w:rFonts w:eastAsiaTheme="majorEastAsia"/>
          <w:b/>
          <w:bCs/>
          <w:i w:val="0"/>
          <w:iCs w:val="0"/>
          <w:color w:val="000000"/>
          <w:sz w:val="20"/>
          <w:szCs w:val="20"/>
        </w:rPr>
        <w:noBreakHyphen/>
        <w:t>19 Vaccination Effectiveness</w:t>
      </w:r>
      <w:r>
        <w:rPr>
          <w:rStyle w:val="Emphasis"/>
          <w:rFonts w:eastAsiaTheme="majorEastAsia"/>
          <w:b/>
          <w:bCs/>
          <w:i w:val="0"/>
          <w:iCs w:val="0"/>
          <w:color w:val="000000"/>
          <w:sz w:val="20"/>
          <w:szCs w:val="20"/>
        </w:rPr>
        <w:t xml:space="preserve">: </w:t>
      </w:r>
      <w:r w:rsidRPr="00D3667B">
        <w:rPr>
          <w:rFonts w:ascii="-webkit-standard" w:hAnsi="-webkit-standard"/>
          <w:color w:val="000000"/>
          <w:sz w:val="20"/>
          <w:szCs w:val="20"/>
        </w:rPr>
        <w:t>The negative binomial regression with interaction terms for vaccination years 2021–2022 and demographic subgroups was designed to test the hypothesis that the effectiveness of COVID</w:t>
      </w:r>
      <w:r w:rsidRPr="00D3667B">
        <w:rPr>
          <w:rFonts w:ascii="-webkit-standard" w:hAnsi="-webkit-standard"/>
          <w:color w:val="000000"/>
          <w:sz w:val="20"/>
          <w:szCs w:val="20"/>
        </w:rPr>
        <w:noBreakHyphen/>
        <w:t xml:space="preserve">19 vaccination in reducing mortality varied significantly by race, age, and gender. While the overall effect of vaccination across 2021–2022 was not statistically significant, subgroup analyses revealed important differences: Hispanic populations showed weaker protective effects (RR ≈ 1.30, p = 0.04), Asian/PI groups trended toward disparity (RR ≈ 1.35, p = 0.07), and Black populations showed no measurable difference from the baseline, whereas Multiracial groups experienced stronger protection (RR ≈ 0.53, p = 0.02). Age interactions highlighted that children ages 0–4 benefited most (RR ≈ 0.62, p = 0.009), while other age groups did not show significant variation. Female sex remained protective overall (RR ≈ 0.64, p &lt; 0.001), though vaccination did not significantly alter that effect. For example, significant negative rate ratios for younger age groups and Multiracial populations indicate stronger protective effects relative to their </w:t>
      </w:r>
      <w:r w:rsidRPr="00D3667B">
        <w:rPr>
          <w:rFonts w:ascii="-webkit-standard" w:hAnsi="-webkit-standard"/>
          <w:color w:val="000000"/>
          <w:sz w:val="20"/>
          <w:szCs w:val="20"/>
        </w:rPr>
        <w:lastRenderedPageBreak/>
        <w:t>baselines, while positive or non</w:t>
      </w:r>
      <w:r w:rsidRPr="00D3667B">
        <w:rPr>
          <w:rFonts w:ascii="-webkit-standard" w:hAnsi="-webkit-standard"/>
          <w:color w:val="000000"/>
          <w:sz w:val="20"/>
          <w:szCs w:val="20"/>
        </w:rPr>
        <w:noBreakHyphen/>
        <w:t>significant results for Hispanic and Asian/PI groups suggest disparities in vaccine impact. Taken together, these findings support the hypothesis that vaccination effectiveness was not uniform, but instead varied across demographic subgroups, underscoring the importance of equity</w:t>
      </w:r>
      <w:r w:rsidRPr="00D3667B">
        <w:rPr>
          <w:rFonts w:ascii="-webkit-standard" w:hAnsi="-webkit-standard"/>
          <w:color w:val="000000"/>
          <w:sz w:val="20"/>
          <w:szCs w:val="20"/>
        </w:rPr>
        <w:noBreakHyphen/>
        <w:t>focused approaches in evaluating vaccine impact on mortality.</w:t>
      </w:r>
    </w:p>
    <w:p w14:paraId="1D01C7AA" w14:textId="77777777" w:rsidR="00D3667B" w:rsidRDefault="00D3667B" w:rsidP="00D3667B">
      <w:pPr>
        <w:pStyle w:val="NormalWeb"/>
        <w:rPr>
          <w:color w:val="000000"/>
        </w:rPr>
      </w:pPr>
      <w:r>
        <w:rPr>
          <w:color w:val="000000"/>
        </w:rPr>
        <w:t>To test the hypothesis that</w:t>
      </w:r>
      <w:r>
        <w:rPr>
          <w:rStyle w:val="apple-converted-space"/>
          <w:rFonts w:eastAsiaTheme="majorEastAsia"/>
          <w:color w:val="000000"/>
        </w:rPr>
        <w:t> </w:t>
      </w:r>
      <w:r>
        <w:rPr>
          <w:rStyle w:val="Strong"/>
          <w:rFonts w:eastAsiaTheme="majorEastAsia"/>
          <w:color w:val="000000"/>
        </w:rPr>
        <w:t>Narcan’s impact on reducing mortality is greater in younger groups</w:t>
      </w:r>
      <w:r>
        <w:rPr>
          <w:color w:val="000000"/>
        </w:rPr>
        <w:t>, I constructed a negative binomial regression using the</w:t>
      </w:r>
      <w:r>
        <w:rPr>
          <w:rStyle w:val="apple-converted-space"/>
          <w:rFonts w:eastAsiaTheme="majorEastAsia"/>
          <w:color w:val="000000"/>
        </w:rPr>
        <w:t> </w:t>
      </w:r>
      <w:proofErr w:type="spellStart"/>
      <w:r>
        <w:rPr>
          <w:rStyle w:val="HTMLCode"/>
          <w:rFonts w:eastAsiaTheme="majorEastAsia"/>
          <w:color w:val="000000"/>
        </w:rPr>
        <w:t>mortality_summary</w:t>
      </w:r>
      <w:proofErr w:type="spellEnd"/>
      <w:r>
        <w:rPr>
          <w:rStyle w:val="apple-converted-space"/>
          <w:rFonts w:eastAsiaTheme="majorEastAsia"/>
          <w:color w:val="000000"/>
        </w:rPr>
        <w:t> </w:t>
      </w:r>
      <w:r>
        <w:rPr>
          <w:color w:val="000000"/>
        </w:rPr>
        <w:t>dataset. The code created binary indicators for Narcan interventions in</w:t>
      </w:r>
      <w:r>
        <w:rPr>
          <w:rStyle w:val="apple-converted-space"/>
          <w:rFonts w:eastAsiaTheme="majorEastAsia"/>
          <w:color w:val="000000"/>
        </w:rPr>
        <w:t> </w:t>
      </w:r>
      <w:r>
        <w:rPr>
          <w:rStyle w:val="Strong"/>
          <w:rFonts w:eastAsiaTheme="majorEastAsia"/>
          <w:color w:val="000000"/>
        </w:rPr>
        <w:t>2017</w:t>
      </w:r>
      <w:r>
        <w:rPr>
          <w:color w:val="000000"/>
        </w:rPr>
        <w:t>,</w:t>
      </w:r>
      <w:r>
        <w:rPr>
          <w:rStyle w:val="apple-converted-space"/>
          <w:rFonts w:eastAsiaTheme="majorEastAsia"/>
          <w:color w:val="000000"/>
        </w:rPr>
        <w:t> </w:t>
      </w:r>
      <w:r>
        <w:rPr>
          <w:rStyle w:val="Strong"/>
          <w:rFonts w:eastAsiaTheme="majorEastAsia"/>
          <w:color w:val="000000"/>
        </w:rPr>
        <w:t>2022</w:t>
      </w:r>
      <w:r>
        <w:rPr>
          <w:color w:val="000000"/>
        </w:rPr>
        <w:t>, and a combined indicator for</w:t>
      </w:r>
      <w:r>
        <w:rPr>
          <w:rStyle w:val="apple-converted-space"/>
          <w:rFonts w:eastAsiaTheme="majorEastAsia"/>
          <w:color w:val="000000"/>
        </w:rPr>
        <w:t> </w:t>
      </w:r>
      <w:r>
        <w:rPr>
          <w:rStyle w:val="Strong"/>
          <w:rFonts w:eastAsiaTheme="majorEastAsia"/>
          <w:color w:val="000000"/>
        </w:rPr>
        <w:t>2017–2022</w:t>
      </w:r>
      <w:r>
        <w:rPr>
          <w:rStyle w:val="apple-converted-space"/>
          <w:rFonts w:eastAsiaTheme="majorEastAsia"/>
          <w:color w:val="000000"/>
        </w:rPr>
        <w:t> </w:t>
      </w:r>
      <w:r>
        <w:rPr>
          <w:color w:val="000000"/>
        </w:rPr>
        <w:t>(</w:t>
      </w:r>
      <w:proofErr w:type="spellStart"/>
      <w:r>
        <w:rPr>
          <w:rStyle w:val="HTMLCode"/>
          <w:rFonts w:eastAsiaTheme="majorEastAsia"/>
          <w:color w:val="000000"/>
        </w:rPr>
        <w:t>narcan_any</w:t>
      </w:r>
      <w:proofErr w:type="spellEnd"/>
      <w:r>
        <w:rPr>
          <w:color w:val="000000"/>
        </w:rPr>
        <w:t>). These indicators were interacted with</w:t>
      </w:r>
      <w:r>
        <w:rPr>
          <w:rStyle w:val="apple-converted-space"/>
          <w:rFonts w:eastAsiaTheme="majorEastAsia"/>
          <w:color w:val="000000"/>
        </w:rPr>
        <w:t> </w:t>
      </w:r>
      <w:r>
        <w:rPr>
          <w:rStyle w:val="Strong"/>
          <w:rFonts w:eastAsiaTheme="majorEastAsia"/>
          <w:color w:val="000000"/>
        </w:rPr>
        <w:t>age categories</w:t>
      </w:r>
      <w:r>
        <w:rPr>
          <w:rStyle w:val="apple-converted-space"/>
          <w:rFonts w:eastAsiaTheme="majorEastAsia"/>
          <w:color w:val="000000"/>
        </w:rPr>
        <w:t> </w:t>
      </w:r>
      <w:r>
        <w:rPr>
          <w:color w:val="000000"/>
        </w:rPr>
        <w:t>(baseline: 25–44) to assess whether Narcan’s protective effects varied across demographic subgroups. Additional covariates included sex, race/ethnicity, fentanyl surge, COVID onset, vaccine rollout, booster campaigns, and year, with categorical predictors re</w:t>
      </w:r>
      <w:r>
        <w:rPr>
          <w:color w:val="000000"/>
        </w:rPr>
        <w:noBreakHyphen/>
        <w:t>leveled to set meaningful baselines.</w:t>
      </w:r>
    </w:p>
    <w:p w14:paraId="6855923B" w14:textId="77777777" w:rsidR="00D3667B" w:rsidRDefault="00D3667B" w:rsidP="00D3667B">
      <w:pPr>
        <w:pStyle w:val="NormalWeb"/>
        <w:rPr>
          <w:color w:val="000000"/>
        </w:rPr>
      </w:pPr>
      <w:r>
        <w:rPr>
          <w:color w:val="000000"/>
        </w:rPr>
        <w:t>The regression results show that the</w:t>
      </w:r>
      <w:r>
        <w:rPr>
          <w:rStyle w:val="apple-converted-space"/>
          <w:rFonts w:eastAsiaTheme="majorEastAsia"/>
          <w:color w:val="000000"/>
        </w:rPr>
        <w:t> </w:t>
      </w:r>
      <w:r>
        <w:rPr>
          <w:rStyle w:val="Strong"/>
          <w:rFonts w:eastAsiaTheme="majorEastAsia"/>
          <w:color w:val="000000"/>
        </w:rPr>
        <w:t>baseline group (ages 25–44)</w:t>
      </w:r>
      <w:r>
        <w:rPr>
          <w:rStyle w:val="apple-converted-space"/>
          <w:rFonts w:eastAsiaTheme="majorEastAsia"/>
          <w:color w:val="000000"/>
        </w:rPr>
        <w:t> </w:t>
      </w:r>
      <w:r>
        <w:rPr>
          <w:color w:val="000000"/>
        </w:rPr>
        <w:t>had a significant positive Narcan effect (Estimate = 0.33,</w:t>
      </w:r>
      <w:r>
        <w:rPr>
          <w:rStyle w:val="apple-converted-space"/>
          <w:rFonts w:eastAsiaTheme="majorEastAsia"/>
          <w:color w:val="000000"/>
        </w:rPr>
        <w:t> </w:t>
      </w:r>
      <w:r>
        <w:rPr>
          <w:rStyle w:val="Emphasis"/>
          <w:rFonts w:eastAsiaTheme="majorEastAsia"/>
          <w:color w:val="000000"/>
        </w:rPr>
        <w:t>p</w:t>
      </w:r>
      <w:r>
        <w:rPr>
          <w:rStyle w:val="apple-converted-space"/>
          <w:rFonts w:eastAsiaTheme="majorEastAsia"/>
          <w:color w:val="000000"/>
        </w:rPr>
        <w:t> </w:t>
      </w:r>
      <w:r>
        <w:rPr>
          <w:color w:val="000000"/>
        </w:rPr>
        <w:t>&lt; 0.001). Interaction terms revealed that</w:t>
      </w:r>
      <w:r>
        <w:rPr>
          <w:rStyle w:val="apple-converted-space"/>
          <w:rFonts w:eastAsiaTheme="majorEastAsia"/>
          <w:color w:val="000000"/>
        </w:rPr>
        <w:t> </w:t>
      </w:r>
      <w:r>
        <w:rPr>
          <w:rStyle w:val="Strong"/>
          <w:rFonts w:eastAsiaTheme="majorEastAsia"/>
          <w:color w:val="000000"/>
        </w:rPr>
        <w:t>older groups (45–64 and 65+) experienced significantly weaker Narcan impacts</w:t>
      </w:r>
      <w:r>
        <w:rPr>
          <w:rStyle w:val="apple-converted-space"/>
          <w:rFonts w:eastAsiaTheme="majorEastAsia"/>
          <w:color w:val="000000"/>
        </w:rPr>
        <w:t> </w:t>
      </w:r>
      <w:r>
        <w:rPr>
          <w:color w:val="000000"/>
        </w:rPr>
        <w:t>compared to the baseline (Estimates = –0.20,</w:t>
      </w:r>
      <w:r>
        <w:rPr>
          <w:rStyle w:val="apple-converted-space"/>
          <w:rFonts w:eastAsiaTheme="majorEastAsia"/>
          <w:color w:val="000000"/>
        </w:rPr>
        <w:t> </w:t>
      </w:r>
      <w:r>
        <w:rPr>
          <w:rStyle w:val="Emphasis"/>
          <w:rFonts w:eastAsiaTheme="majorEastAsia"/>
          <w:color w:val="000000"/>
        </w:rPr>
        <w:t>p</w:t>
      </w:r>
      <w:r>
        <w:rPr>
          <w:rStyle w:val="apple-converted-space"/>
          <w:rFonts w:eastAsiaTheme="majorEastAsia"/>
          <w:color w:val="000000"/>
        </w:rPr>
        <w:t> </w:t>
      </w:r>
      <w:r>
        <w:rPr>
          <w:color w:val="000000"/>
        </w:rPr>
        <w:t>= 0.026; –0.23,</w:t>
      </w:r>
      <w:r>
        <w:rPr>
          <w:rStyle w:val="apple-converted-space"/>
          <w:rFonts w:eastAsiaTheme="majorEastAsia"/>
          <w:color w:val="000000"/>
        </w:rPr>
        <w:t> </w:t>
      </w:r>
      <w:r>
        <w:rPr>
          <w:rStyle w:val="Emphasis"/>
          <w:rFonts w:eastAsiaTheme="majorEastAsia"/>
          <w:color w:val="000000"/>
        </w:rPr>
        <w:t>p</w:t>
      </w:r>
      <w:r>
        <w:rPr>
          <w:rStyle w:val="apple-converted-space"/>
          <w:rFonts w:eastAsiaTheme="majorEastAsia"/>
          <w:color w:val="000000"/>
        </w:rPr>
        <w:t> </w:t>
      </w:r>
      <w:r>
        <w:rPr>
          <w:color w:val="000000"/>
        </w:rPr>
        <w:t>= 0.009). The “All ages” aggregate also showed a weaker effect (Estimate = –0.22,</w:t>
      </w:r>
      <w:r>
        <w:rPr>
          <w:rStyle w:val="apple-converted-space"/>
          <w:rFonts w:eastAsiaTheme="majorEastAsia"/>
          <w:color w:val="000000"/>
        </w:rPr>
        <w:t> </w:t>
      </w:r>
      <w:r>
        <w:rPr>
          <w:rStyle w:val="Emphasis"/>
          <w:rFonts w:eastAsiaTheme="majorEastAsia"/>
          <w:color w:val="000000"/>
        </w:rPr>
        <w:t>p</w:t>
      </w:r>
      <w:r>
        <w:rPr>
          <w:rStyle w:val="apple-converted-space"/>
          <w:rFonts w:eastAsiaTheme="majorEastAsia"/>
          <w:color w:val="000000"/>
        </w:rPr>
        <w:t> </w:t>
      </w:r>
      <w:r>
        <w:rPr>
          <w:color w:val="000000"/>
        </w:rPr>
        <w:t>= 0.012). By contrast,</w:t>
      </w:r>
      <w:r>
        <w:rPr>
          <w:rStyle w:val="apple-converted-space"/>
          <w:rFonts w:eastAsiaTheme="majorEastAsia"/>
          <w:color w:val="000000"/>
        </w:rPr>
        <w:t> </w:t>
      </w:r>
      <w:r>
        <w:rPr>
          <w:rStyle w:val="Strong"/>
          <w:rFonts w:eastAsiaTheme="majorEastAsia"/>
          <w:color w:val="000000"/>
        </w:rPr>
        <w:t>younger groups (15–24 and 5–14)</w:t>
      </w:r>
      <w:r>
        <w:rPr>
          <w:rStyle w:val="apple-converted-space"/>
          <w:rFonts w:eastAsiaTheme="majorEastAsia"/>
          <w:color w:val="000000"/>
        </w:rPr>
        <w:t> </w:t>
      </w:r>
      <w:r>
        <w:rPr>
          <w:color w:val="000000"/>
        </w:rPr>
        <w:t xml:space="preserve">did not differ significantly from the baseline, meaning their Narcan impact was statistically </w:t>
      </w:r>
      <w:proofErr w:type="gramStart"/>
      <w:r>
        <w:rPr>
          <w:color w:val="000000"/>
        </w:rPr>
        <w:t>similar to</w:t>
      </w:r>
      <w:proofErr w:type="gramEnd"/>
      <w:r>
        <w:rPr>
          <w:color w:val="000000"/>
        </w:rPr>
        <w:t xml:space="preserve"> 25–44 rather than stronger. Year</w:t>
      </w:r>
      <w:r>
        <w:rPr>
          <w:color w:val="000000"/>
        </w:rPr>
        <w:noBreakHyphen/>
        <w:t>specific indicators for 2017 and 2022 showed no significant main effects or interactions, suggesting that the combined 2017–2022 measure captured the more consistent pattern. Other covariates behaved as expected: COVID onset increased mortality (Estimate = 0.30,</w:t>
      </w:r>
      <w:r>
        <w:rPr>
          <w:rStyle w:val="apple-converted-space"/>
          <w:rFonts w:eastAsiaTheme="majorEastAsia"/>
          <w:color w:val="000000"/>
        </w:rPr>
        <w:t> </w:t>
      </w:r>
      <w:r>
        <w:rPr>
          <w:rStyle w:val="Emphasis"/>
          <w:rFonts w:eastAsiaTheme="majorEastAsia"/>
          <w:color w:val="000000"/>
        </w:rPr>
        <w:t>p</w:t>
      </w:r>
      <w:r>
        <w:rPr>
          <w:rStyle w:val="apple-converted-space"/>
          <w:rFonts w:eastAsiaTheme="majorEastAsia"/>
          <w:color w:val="000000"/>
        </w:rPr>
        <w:t> </w:t>
      </w:r>
      <w:r>
        <w:rPr>
          <w:color w:val="000000"/>
        </w:rPr>
        <w:t>&lt; 0.001), females were protective relative to males, and Black populations experienced excess mortality.</w:t>
      </w:r>
    </w:p>
    <w:p w14:paraId="35D7DA98" w14:textId="77777777" w:rsidR="00D3667B" w:rsidRDefault="00D3667B" w:rsidP="00D3667B">
      <w:pPr>
        <w:pStyle w:val="NormalWeb"/>
        <w:rPr>
          <w:color w:val="000000"/>
        </w:rPr>
      </w:pPr>
      <w:r>
        <w:rPr>
          <w:color w:val="000000"/>
        </w:rPr>
        <w:t>In summary, the analysis indicates that</w:t>
      </w:r>
      <w:r>
        <w:rPr>
          <w:rStyle w:val="apple-converted-space"/>
          <w:rFonts w:eastAsiaTheme="majorEastAsia"/>
          <w:color w:val="000000"/>
        </w:rPr>
        <w:t> </w:t>
      </w:r>
      <w:r>
        <w:rPr>
          <w:rStyle w:val="Strong"/>
          <w:rFonts w:eastAsiaTheme="majorEastAsia"/>
          <w:color w:val="000000"/>
        </w:rPr>
        <w:t>Narcan’s impact was strongest in the baseline 25–44 group, weaker in older groups, and similar in younger groups</w:t>
      </w:r>
      <w:r>
        <w:rPr>
          <w:color w:val="000000"/>
        </w:rPr>
        <w:t>, thereby</w:t>
      </w:r>
      <w:r>
        <w:rPr>
          <w:rStyle w:val="apple-converted-space"/>
          <w:rFonts w:eastAsiaTheme="majorEastAsia"/>
          <w:color w:val="000000"/>
        </w:rPr>
        <w:t> </w:t>
      </w:r>
      <w:r>
        <w:rPr>
          <w:rStyle w:val="Strong"/>
          <w:rFonts w:eastAsiaTheme="majorEastAsia"/>
          <w:color w:val="000000"/>
        </w:rPr>
        <w:t>not supporting the original hypothesis</w:t>
      </w:r>
      <w:r>
        <w:rPr>
          <w:rStyle w:val="apple-converted-space"/>
          <w:rFonts w:eastAsiaTheme="majorEastAsia"/>
          <w:color w:val="000000"/>
        </w:rPr>
        <w:t> </w:t>
      </w:r>
      <w:r>
        <w:rPr>
          <w:color w:val="000000"/>
        </w:rPr>
        <w:t>that Narcan’s protective effect is greater in younger populations. Instead, the findings highlight that Narcan interventions reduced mortality most clearly among adults aged 25–44, underscoring the need for further subgroup</w:t>
      </w:r>
      <w:r>
        <w:rPr>
          <w:color w:val="000000"/>
        </w:rPr>
        <w:noBreakHyphen/>
        <w:t>focused evaluation to understand age</w:t>
      </w:r>
      <w:r>
        <w:rPr>
          <w:color w:val="000000"/>
        </w:rPr>
        <w:noBreakHyphen/>
        <w:t>specific dynamics.</w:t>
      </w:r>
    </w:p>
    <w:p w14:paraId="4A57F52A" w14:textId="77777777" w:rsidR="00D3667B" w:rsidRPr="00D3667B" w:rsidRDefault="00D3667B" w:rsidP="00D3667B">
      <w:pPr>
        <w:pStyle w:val="NormalWeb"/>
        <w:rPr>
          <w:color w:val="000000"/>
          <w:sz w:val="20"/>
          <w:szCs w:val="20"/>
        </w:rPr>
      </w:pPr>
      <w:r w:rsidRPr="00D3667B">
        <w:rPr>
          <w:rFonts w:ascii="-webkit-standard" w:hAnsi="-webkit-standard"/>
          <w:b/>
          <w:bCs/>
          <w:color w:val="000000"/>
          <w:sz w:val="20"/>
          <w:szCs w:val="20"/>
        </w:rPr>
        <w:t>E</w:t>
      </w:r>
      <w:r w:rsidRPr="00D3667B">
        <w:rPr>
          <w:rFonts w:ascii="-webkit-standard" w:hAnsi="-webkit-standard"/>
          <w:b/>
          <w:bCs/>
          <w:color w:val="000000"/>
          <w:sz w:val="20"/>
          <w:szCs w:val="20"/>
        </w:rPr>
        <w:t>quity Impacts of COVID Vaccination and Opioid Interventions on Mortality Disparities</w:t>
      </w:r>
      <w:r w:rsidRPr="00D3667B">
        <w:rPr>
          <w:rFonts w:ascii="-webkit-standard" w:hAnsi="-webkit-standard"/>
          <w:b/>
          <w:bCs/>
          <w:color w:val="000000"/>
          <w:sz w:val="20"/>
          <w:szCs w:val="20"/>
        </w:rPr>
        <w:t>:</w:t>
      </w:r>
      <w:r w:rsidRPr="00D3667B">
        <w:rPr>
          <w:rFonts w:ascii="-webkit-standard" w:hAnsi="-webkit-standard"/>
          <w:color w:val="000000"/>
          <w:sz w:val="20"/>
          <w:szCs w:val="20"/>
        </w:rPr>
        <w:t xml:space="preserve"> </w:t>
      </w:r>
      <w:r w:rsidRPr="00D3667B">
        <w:rPr>
          <w:color w:val="000000"/>
          <w:sz w:val="20"/>
          <w:szCs w:val="20"/>
        </w:rPr>
        <w:t>This analysis tested whether disparities narrowed after interventions, specifically COVID</w:t>
      </w:r>
      <w:r w:rsidRPr="00D3667B">
        <w:rPr>
          <w:color w:val="000000"/>
          <w:sz w:val="20"/>
          <w:szCs w:val="20"/>
        </w:rPr>
        <w:noBreakHyphen/>
        <w:t xml:space="preserve">19 vaccination in 2021–2022 and opioid interventions in 2017–2022, across sex, age, and race/ethnicity subgroups. A negative binomial regression was fit using the </w:t>
      </w:r>
      <w:proofErr w:type="spellStart"/>
      <w:r w:rsidRPr="00D3667B">
        <w:rPr>
          <w:color w:val="000000"/>
          <w:sz w:val="20"/>
          <w:szCs w:val="20"/>
        </w:rPr>
        <w:t>mortality_summary</w:t>
      </w:r>
      <w:proofErr w:type="spellEnd"/>
      <w:r w:rsidRPr="00D3667B">
        <w:rPr>
          <w:color w:val="000000"/>
          <w:sz w:val="20"/>
          <w:szCs w:val="20"/>
        </w:rPr>
        <w:t xml:space="preserve"> dataset, excluding ages 0–4. Binary indicators were created for vaccination (</w:t>
      </w:r>
      <w:proofErr w:type="spellStart"/>
      <w:r w:rsidRPr="00D3667B">
        <w:rPr>
          <w:color w:val="000000"/>
          <w:sz w:val="20"/>
          <w:szCs w:val="20"/>
        </w:rPr>
        <w:t>vax_any</w:t>
      </w:r>
      <w:proofErr w:type="spellEnd"/>
      <w:r w:rsidRPr="00D3667B">
        <w:rPr>
          <w:color w:val="000000"/>
          <w:sz w:val="20"/>
          <w:szCs w:val="20"/>
        </w:rPr>
        <w:t>: 2021–2022) and opioid interventions (</w:t>
      </w:r>
      <w:proofErr w:type="spellStart"/>
      <w:r w:rsidRPr="00D3667B">
        <w:rPr>
          <w:color w:val="000000"/>
          <w:sz w:val="20"/>
          <w:szCs w:val="20"/>
        </w:rPr>
        <w:t>opioid_any</w:t>
      </w:r>
      <w:proofErr w:type="spellEnd"/>
      <w:r w:rsidRPr="00D3667B">
        <w:rPr>
          <w:color w:val="000000"/>
          <w:sz w:val="20"/>
          <w:szCs w:val="20"/>
        </w:rPr>
        <w:t>: 2017–2022), and these were interacted with sex, race/ethnicity, and age categories, with baselines set as Male, White (NH), and ages 25–44. Covariates included fentanyl surge, COVID onset, and year to account for contextual mortality trends.</w:t>
      </w:r>
    </w:p>
    <w:p w14:paraId="2B653024" w14:textId="77777777" w:rsidR="00D3667B" w:rsidRPr="00D3667B" w:rsidRDefault="00D3667B" w:rsidP="00D3667B">
      <w:pPr>
        <w:pStyle w:val="NormalWeb"/>
        <w:rPr>
          <w:color w:val="000000"/>
          <w:sz w:val="20"/>
          <w:szCs w:val="20"/>
        </w:rPr>
      </w:pPr>
      <w:r w:rsidRPr="00D3667B">
        <w:rPr>
          <w:color w:val="000000"/>
          <w:sz w:val="20"/>
          <w:szCs w:val="20"/>
        </w:rPr>
        <w:t>The results showed that vaccination had no significant overall impact, while opioid interventions were associated with a modest increase in mortality. Sex interactions revealed no evidence of narrowing or widening disparities. Race and ethnicity interactions, however, highlighted important variation: vaccination effects differed significantly for Asian/PI, Hispanic, and Multiracial groups compared to White (NH), suggesting uneven protective benefits. For opioid interventions, Multiracial groups showed a significant negative interaction, indicating narrowed disparities, while other race/ethnicity effects were non</w:t>
      </w:r>
      <w:r w:rsidRPr="00D3667B">
        <w:rPr>
          <w:color w:val="000000"/>
          <w:sz w:val="20"/>
          <w:szCs w:val="20"/>
        </w:rPr>
        <w:noBreakHyphen/>
        <w:t>significant. Age interactions revealed no significant differences for vaccination, but opioid interventions showed borderline evidence of narrowing disparities among younger (15–24) and older (45–64, 65+) groups. Contextual covariates behaved as expected, with COVID onset increasing mortality, year trends showing gradual declines, and sex and race main effects confirming known disparities such as female protection, Black excess mortality, and protective effects for Asian/PI and Hispanic populations.</w:t>
      </w:r>
    </w:p>
    <w:p w14:paraId="63F48D6C" w14:textId="77777777" w:rsidR="00D3667B" w:rsidRPr="00D3667B" w:rsidRDefault="00D3667B" w:rsidP="00D3667B">
      <w:pPr>
        <w:pStyle w:val="NormalWeb"/>
        <w:rPr>
          <w:color w:val="000000"/>
          <w:sz w:val="20"/>
          <w:szCs w:val="20"/>
        </w:rPr>
      </w:pPr>
      <w:r w:rsidRPr="00D3667B">
        <w:rPr>
          <w:color w:val="000000"/>
          <w:sz w:val="20"/>
          <w:szCs w:val="20"/>
        </w:rPr>
        <w:lastRenderedPageBreak/>
        <w:t>Overall, the hypothesis that disparities narrowed after interventions is partially supported. Vaccination impacts varied across race and ethnicity but did not show clear narrowing by sex or age, while opioid interventions provided some evidence of narrowing for Multiracial groups and possible narrowing for younger and older age categories. These findings suggest that intervention impacts were not uniform across demographic groups, with the strongest equity signals emerging in race and ethnicity interactions, while sex and age disparities remained largely unchanged. Future work should refine subgroup interaction models to better quantify equity impacts and identify where interventions most effectively reduce disparities.</w:t>
      </w:r>
    </w:p>
    <w:p w14:paraId="4AD1C00A" w14:textId="2E37DD84" w:rsidR="00D3667B" w:rsidRPr="00D3667B" w:rsidRDefault="00D3667B" w:rsidP="00D3667B">
      <w:pPr>
        <w:spacing w:before="100" w:beforeAutospacing="1" w:after="100" w:afterAutospacing="1" w:line="240" w:lineRule="auto"/>
        <w:outlineLvl w:val="2"/>
        <w:rPr>
          <w:rFonts w:ascii="Times New Roman" w:eastAsia="Times New Roman" w:hAnsi="Times New Roman" w:cs="Times New Roman"/>
          <w:color w:val="000000"/>
          <w:kern w:val="0"/>
          <w:sz w:val="20"/>
          <w:szCs w:val="20"/>
          <w14:ligatures w14:val="none"/>
        </w:rPr>
      </w:pPr>
      <w:r w:rsidRPr="00D3667B">
        <w:rPr>
          <w:rFonts w:ascii="Times New Roman" w:eastAsia="Times New Roman" w:hAnsi="Times New Roman" w:cs="Times New Roman"/>
          <w:b/>
          <w:bCs/>
          <w:color w:val="000000"/>
          <w:kern w:val="0"/>
          <w:sz w:val="20"/>
          <w:szCs w:val="20"/>
          <w14:ligatures w14:val="none"/>
        </w:rPr>
        <w:t>Evaluating Age</w:t>
      </w:r>
      <w:r w:rsidRPr="00D3667B">
        <w:rPr>
          <w:rFonts w:ascii="Times New Roman" w:eastAsia="Times New Roman" w:hAnsi="Times New Roman" w:cs="Times New Roman"/>
          <w:b/>
          <w:bCs/>
          <w:color w:val="000000"/>
          <w:kern w:val="0"/>
          <w:sz w:val="20"/>
          <w:szCs w:val="20"/>
          <w14:ligatures w14:val="none"/>
        </w:rPr>
        <w:noBreakHyphen/>
        <w:t>Specific Impacts of Narcan Interventions (2017–2022</w:t>
      </w:r>
      <w:r w:rsidRPr="00D3667B">
        <w:rPr>
          <w:rFonts w:ascii="Times New Roman" w:eastAsia="Times New Roman" w:hAnsi="Times New Roman" w:cs="Times New Roman"/>
          <w:color w:val="000000"/>
          <w:kern w:val="0"/>
          <w:sz w:val="20"/>
          <w:szCs w:val="20"/>
          <w14:ligatures w14:val="none"/>
        </w:rPr>
        <w:t>)</w:t>
      </w:r>
      <w:r w:rsidRPr="00D3667B">
        <w:rPr>
          <w:rFonts w:ascii="Times New Roman" w:eastAsia="Times New Roman" w:hAnsi="Times New Roman" w:cs="Times New Roman"/>
          <w:color w:val="000000"/>
          <w:kern w:val="0"/>
          <w:sz w:val="20"/>
          <w:szCs w:val="20"/>
          <w14:ligatures w14:val="none"/>
        </w:rPr>
        <w:t xml:space="preserve">: </w:t>
      </w:r>
      <w:r w:rsidRPr="00D3667B">
        <w:rPr>
          <w:rFonts w:ascii="Times New Roman" w:eastAsia="Times New Roman" w:hAnsi="Times New Roman" w:cs="Times New Roman"/>
          <w:color w:val="000000"/>
          <w:kern w:val="0"/>
          <w:sz w:val="20"/>
          <w:szCs w:val="20"/>
          <w14:ligatures w14:val="none"/>
        </w:rPr>
        <w:t>To test the hypothesis that Narcan’s impact on reducing mortality is greater in younger groups, I constructed a negative binomial regression using the </w:t>
      </w:r>
      <w:proofErr w:type="spellStart"/>
      <w:r w:rsidRPr="00D3667B">
        <w:rPr>
          <w:rFonts w:ascii="Courier New" w:eastAsia="Times New Roman" w:hAnsi="Courier New" w:cs="Courier New"/>
          <w:color w:val="000000"/>
          <w:kern w:val="0"/>
          <w:sz w:val="20"/>
          <w:szCs w:val="20"/>
          <w14:ligatures w14:val="none"/>
        </w:rPr>
        <w:t>mortality_summary</w:t>
      </w:r>
      <w:proofErr w:type="spellEnd"/>
      <w:r w:rsidRPr="00D3667B">
        <w:rPr>
          <w:rFonts w:ascii="Times New Roman" w:eastAsia="Times New Roman" w:hAnsi="Times New Roman" w:cs="Times New Roman"/>
          <w:color w:val="000000"/>
          <w:kern w:val="0"/>
          <w:sz w:val="20"/>
          <w:szCs w:val="20"/>
          <w14:ligatures w14:val="none"/>
        </w:rPr>
        <w:t> dataset. The code created binary indicators for Narcan interventions in 2017, 2022, and a combined indicator for 2017–2022 (</w:t>
      </w:r>
      <w:proofErr w:type="spellStart"/>
      <w:r w:rsidRPr="00D3667B">
        <w:rPr>
          <w:rFonts w:ascii="Courier New" w:eastAsia="Times New Roman" w:hAnsi="Courier New" w:cs="Courier New"/>
          <w:color w:val="000000"/>
          <w:kern w:val="0"/>
          <w:sz w:val="20"/>
          <w:szCs w:val="20"/>
          <w14:ligatures w14:val="none"/>
        </w:rPr>
        <w:t>narcan_any</w:t>
      </w:r>
      <w:proofErr w:type="spellEnd"/>
      <w:r w:rsidRPr="00D3667B">
        <w:rPr>
          <w:rFonts w:ascii="Times New Roman" w:eastAsia="Times New Roman" w:hAnsi="Times New Roman" w:cs="Times New Roman"/>
          <w:color w:val="000000"/>
          <w:kern w:val="0"/>
          <w:sz w:val="20"/>
          <w:szCs w:val="20"/>
          <w14:ligatures w14:val="none"/>
        </w:rPr>
        <w:t>). These indicators were interacted with age categories (baseline: 25–44) to assess whether Narcan’s protective effects varied across demographic subgroups. Additional covariates included sex, race/ethnicity, fentanyl surge, COVID onset, vaccine rollout, booster campaigns, and year, with categorical predictors re</w:t>
      </w:r>
      <w:r w:rsidRPr="00D3667B">
        <w:rPr>
          <w:rFonts w:ascii="Times New Roman" w:eastAsia="Times New Roman" w:hAnsi="Times New Roman" w:cs="Times New Roman"/>
          <w:color w:val="000000"/>
          <w:kern w:val="0"/>
          <w:sz w:val="20"/>
          <w:szCs w:val="20"/>
          <w14:ligatures w14:val="none"/>
        </w:rPr>
        <w:noBreakHyphen/>
        <w:t>leveled to set meaningful baselines.</w:t>
      </w:r>
    </w:p>
    <w:p w14:paraId="6BC11832" w14:textId="77777777" w:rsidR="00D3667B" w:rsidRPr="00D3667B" w:rsidRDefault="00D3667B" w:rsidP="00D3667B">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3667B">
        <w:rPr>
          <w:rFonts w:ascii="Times New Roman" w:eastAsia="Times New Roman" w:hAnsi="Times New Roman" w:cs="Times New Roman"/>
          <w:color w:val="000000"/>
          <w:kern w:val="0"/>
          <w:sz w:val="20"/>
          <w:szCs w:val="20"/>
          <w14:ligatures w14:val="none"/>
        </w:rPr>
        <w:t xml:space="preserve">The regression results show that the baseline group (ages 25–44) had a significant positive Narcan effect (Estimate = 0.33, p &lt; 0.001). Interaction terms revealed that older groups (45–64 and 65+) experienced significantly weaker Narcan impacts compared to the baseline (Estimates = –0.20, p = 0.026; –0.23, p = 0.009). The “All ages” aggregate also showed a weaker effect (Estimate = –0.22, p = 0.012). By contrast, younger groups (15–24 and 5–14) did not differ significantly from the baseline, meaning their Narcan impact was statistically </w:t>
      </w:r>
      <w:proofErr w:type="gramStart"/>
      <w:r w:rsidRPr="00D3667B">
        <w:rPr>
          <w:rFonts w:ascii="Times New Roman" w:eastAsia="Times New Roman" w:hAnsi="Times New Roman" w:cs="Times New Roman"/>
          <w:color w:val="000000"/>
          <w:kern w:val="0"/>
          <w:sz w:val="20"/>
          <w:szCs w:val="20"/>
          <w14:ligatures w14:val="none"/>
        </w:rPr>
        <w:t>similar to</w:t>
      </w:r>
      <w:proofErr w:type="gramEnd"/>
      <w:r w:rsidRPr="00D3667B">
        <w:rPr>
          <w:rFonts w:ascii="Times New Roman" w:eastAsia="Times New Roman" w:hAnsi="Times New Roman" w:cs="Times New Roman"/>
          <w:color w:val="000000"/>
          <w:kern w:val="0"/>
          <w:sz w:val="20"/>
          <w:szCs w:val="20"/>
          <w14:ligatures w14:val="none"/>
        </w:rPr>
        <w:t xml:space="preserve"> 25–44 rather than stronger. Year</w:t>
      </w:r>
      <w:r w:rsidRPr="00D3667B">
        <w:rPr>
          <w:rFonts w:ascii="Times New Roman" w:eastAsia="Times New Roman" w:hAnsi="Times New Roman" w:cs="Times New Roman"/>
          <w:color w:val="000000"/>
          <w:kern w:val="0"/>
          <w:sz w:val="20"/>
          <w:szCs w:val="20"/>
          <w14:ligatures w14:val="none"/>
        </w:rPr>
        <w:noBreakHyphen/>
        <w:t>specific indicators for 2017 and 2022 showed no significant main effects or interactions, suggesting that the combined 2017–2022 measure captured the more consistent pattern. Other covariates behaved as expected: COVID onset increased mortality (Estimate = 0.30, p &lt; 0.001), females were protective relative to males, and Black populations experienced excess mortality.</w:t>
      </w:r>
    </w:p>
    <w:p w14:paraId="69CA2AD3" w14:textId="77777777" w:rsidR="00D3667B" w:rsidRPr="00D3667B" w:rsidRDefault="00D3667B" w:rsidP="00D3667B">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3667B">
        <w:rPr>
          <w:rFonts w:ascii="Times New Roman" w:eastAsia="Times New Roman" w:hAnsi="Times New Roman" w:cs="Times New Roman"/>
          <w:color w:val="000000"/>
          <w:kern w:val="0"/>
          <w:sz w:val="20"/>
          <w:szCs w:val="20"/>
          <w14:ligatures w14:val="none"/>
        </w:rPr>
        <w:t>In summary, the analysis indicates that Narcan’s impact was strongest in the baseline 25–44 group, weaker in older groups, and similar in younger groups, thereby not supporting the original hypothesis that Narcan’s protective effect is greater in younger populations. Instead, the findings highlight that Narcan interventions reduced mortality most clearly among adults aged 25–44, underscoring the need for further subgroup</w:t>
      </w:r>
      <w:r w:rsidRPr="00D3667B">
        <w:rPr>
          <w:rFonts w:ascii="Times New Roman" w:eastAsia="Times New Roman" w:hAnsi="Times New Roman" w:cs="Times New Roman"/>
          <w:color w:val="000000"/>
          <w:kern w:val="0"/>
          <w:sz w:val="20"/>
          <w:szCs w:val="20"/>
          <w14:ligatures w14:val="none"/>
        </w:rPr>
        <w:noBreakHyphen/>
        <w:t>focused evaluation to understand age</w:t>
      </w:r>
      <w:r w:rsidRPr="00D3667B">
        <w:rPr>
          <w:rFonts w:ascii="Times New Roman" w:eastAsia="Times New Roman" w:hAnsi="Times New Roman" w:cs="Times New Roman"/>
          <w:color w:val="000000"/>
          <w:kern w:val="0"/>
          <w:sz w:val="20"/>
          <w:szCs w:val="20"/>
          <w14:ligatures w14:val="none"/>
        </w:rPr>
        <w:noBreakHyphen/>
        <w:t>specific dynamics.</w:t>
      </w:r>
    </w:p>
    <w:p w14:paraId="14B8DCCB" w14:textId="77777777" w:rsidR="00D3667B" w:rsidRDefault="00D3667B" w:rsidP="00D3667B">
      <w:pPr>
        <w:numPr>
          <w:ilvl w:val="0"/>
          <w:numId w:val="3"/>
        </w:numPr>
      </w:pPr>
      <w:r w:rsidRPr="00D3667B">
        <w:t>Regression uses dummy variables for interruptions and interaction terms for slope changes</w:t>
      </w:r>
    </w:p>
    <w:p w14:paraId="1AA94505" w14:textId="77777777" w:rsidR="00D3667B" w:rsidRPr="00D3667B" w:rsidRDefault="00D3667B" w:rsidP="00D3667B">
      <w:pPr>
        <w:numPr>
          <w:ilvl w:val="0"/>
          <w:numId w:val="3"/>
        </w:numPr>
      </w:pPr>
      <w:proofErr w:type="spellStart"/>
      <w:r w:rsidRPr="00D3667B">
        <w:t>ll</w:t>
      </w:r>
      <w:proofErr w:type="spellEnd"/>
      <w:r w:rsidRPr="00D3667B">
        <w:noBreakHyphen/>
        <w:t>suited for public health where randomized experiments aren’t feasible</w:t>
      </w:r>
    </w:p>
    <w:p w14:paraId="768C41DE" w14:textId="77777777" w:rsidR="00D3667B" w:rsidRPr="00D3667B" w:rsidRDefault="00D3667B" w:rsidP="00D3667B">
      <w:pPr>
        <w:numPr>
          <w:ilvl w:val="0"/>
          <w:numId w:val="3"/>
        </w:numPr>
      </w:pPr>
    </w:p>
    <w:p w14:paraId="0B7CA7AB" w14:textId="77777777" w:rsidR="00D3667B" w:rsidRPr="00D3667B" w:rsidRDefault="00D3667B" w:rsidP="00D3667B">
      <w:pPr>
        <w:numPr>
          <w:ilvl w:val="0"/>
          <w:numId w:val="3"/>
        </w:numPr>
      </w:pPr>
      <w:r w:rsidRPr="00D3667B">
        <w:rPr>
          <w:b/>
          <w:bCs/>
        </w:rPr>
        <w:t>Demographic effects</w:t>
      </w:r>
    </w:p>
    <w:p w14:paraId="483908C9" w14:textId="77777777" w:rsidR="00D3667B" w:rsidRPr="00D3667B" w:rsidRDefault="00D3667B" w:rsidP="00D3667B">
      <w:pPr>
        <w:numPr>
          <w:ilvl w:val="0"/>
          <w:numId w:val="3"/>
        </w:numPr>
      </w:pPr>
      <w:r w:rsidRPr="00D3667B">
        <w:rPr>
          <w:b/>
          <w:bCs/>
        </w:rPr>
        <w:t>Females → significantly fewer deaths compared to males</w:t>
      </w:r>
    </w:p>
    <w:p w14:paraId="4F12F3AA" w14:textId="77777777" w:rsidR="00D3667B" w:rsidRPr="00D3667B" w:rsidRDefault="00D3667B" w:rsidP="00D3667B">
      <w:pPr>
        <w:numPr>
          <w:ilvl w:val="0"/>
          <w:numId w:val="3"/>
        </w:numPr>
      </w:pPr>
      <w:r w:rsidRPr="00D3667B">
        <w:rPr>
          <w:b/>
          <w:bCs/>
        </w:rPr>
        <w:t>Asian/PI, Hispanic, Multiracial → strong protective effects compared to White (NH)</w:t>
      </w:r>
    </w:p>
    <w:p w14:paraId="251AA923" w14:textId="77777777" w:rsidR="00D3667B" w:rsidRPr="00D3667B" w:rsidRDefault="00D3667B" w:rsidP="00D3667B">
      <w:pPr>
        <w:numPr>
          <w:ilvl w:val="0"/>
          <w:numId w:val="3"/>
        </w:numPr>
      </w:pPr>
      <w:r w:rsidRPr="00D3667B">
        <w:rPr>
          <w:b/>
          <w:bCs/>
        </w:rPr>
        <w:t>Black (NH) → significantly higher deaths compared to White (NH)</w:t>
      </w:r>
    </w:p>
    <w:p w14:paraId="0AD7582B" w14:textId="77777777" w:rsidR="00D3667B" w:rsidRPr="00D3667B" w:rsidRDefault="00D3667B" w:rsidP="00D3667B">
      <w:pPr>
        <w:numPr>
          <w:ilvl w:val="0"/>
          <w:numId w:val="3"/>
        </w:numPr>
      </w:pPr>
      <w:r w:rsidRPr="00D3667B">
        <w:rPr>
          <w:b/>
          <w:bCs/>
        </w:rPr>
        <w:t>Age 45–64 → ~3× higher deaths vs 25–44</w:t>
      </w:r>
    </w:p>
    <w:p w14:paraId="025E22CC" w14:textId="77777777" w:rsidR="00D3667B" w:rsidRPr="00D3667B" w:rsidRDefault="00D3667B" w:rsidP="00D3667B">
      <w:pPr>
        <w:numPr>
          <w:ilvl w:val="0"/>
          <w:numId w:val="3"/>
        </w:numPr>
      </w:pPr>
      <w:r w:rsidRPr="00D3667B">
        <w:rPr>
          <w:b/>
          <w:bCs/>
        </w:rPr>
        <w:t>Age 65+ → ~9× higher deaths vs 25–44</w:t>
      </w:r>
    </w:p>
    <w:p w14:paraId="70698FEC" w14:textId="77777777" w:rsidR="00D3667B" w:rsidRPr="00D3667B" w:rsidRDefault="00D3667B" w:rsidP="00D3667B">
      <w:pPr>
        <w:numPr>
          <w:ilvl w:val="0"/>
          <w:numId w:val="3"/>
        </w:numPr>
      </w:pPr>
      <w:r w:rsidRPr="00D3667B">
        <w:rPr>
          <w:b/>
          <w:bCs/>
        </w:rPr>
        <w:lastRenderedPageBreak/>
        <w:t>All ages group → ~14× higher deaths vs 25–44</w:t>
      </w:r>
    </w:p>
    <w:p w14:paraId="1CC34A33" w14:textId="77777777" w:rsidR="00D3667B" w:rsidRPr="00D3667B" w:rsidRDefault="00D3667B" w:rsidP="00D3667B">
      <w:pPr>
        <w:numPr>
          <w:ilvl w:val="0"/>
          <w:numId w:val="3"/>
        </w:numPr>
      </w:pPr>
      <w:r w:rsidRPr="00D3667B">
        <w:rPr>
          <w:b/>
          <w:bCs/>
        </w:rPr>
        <w:t>Age 5–14 and 15–24 → strong protective effects</w:t>
      </w:r>
    </w:p>
    <w:p w14:paraId="0B023B81" w14:textId="77777777" w:rsidR="00D3667B" w:rsidRPr="00D3667B" w:rsidRDefault="00D3667B" w:rsidP="00D3667B">
      <w:pPr>
        <w:numPr>
          <w:ilvl w:val="0"/>
          <w:numId w:val="3"/>
        </w:numPr>
      </w:pPr>
      <w:r w:rsidRPr="00D3667B">
        <w:rPr>
          <w:b/>
          <w:bCs/>
        </w:rPr>
        <w:t>Intervention effects</w:t>
      </w:r>
    </w:p>
    <w:p w14:paraId="6FB18772" w14:textId="77777777" w:rsidR="00D3667B" w:rsidRPr="00D3667B" w:rsidRDefault="00D3667B" w:rsidP="00D3667B">
      <w:pPr>
        <w:numPr>
          <w:ilvl w:val="0"/>
          <w:numId w:val="3"/>
        </w:numPr>
      </w:pPr>
      <w:r w:rsidRPr="00D3667B">
        <w:rPr>
          <w:b/>
          <w:bCs/>
        </w:rPr>
        <w:t>OTC Narcan → ~16% fewer deaths (protective)</w:t>
      </w:r>
    </w:p>
    <w:p w14:paraId="08A61A7A" w14:textId="77777777" w:rsidR="00D3667B" w:rsidRPr="00D3667B" w:rsidRDefault="00D3667B" w:rsidP="00D3667B">
      <w:pPr>
        <w:numPr>
          <w:ilvl w:val="0"/>
          <w:numId w:val="3"/>
        </w:numPr>
      </w:pPr>
      <w:r w:rsidRPr="00D3667B">
        <w:rPr>
          <w:b/>
          <w:bCs/>
        </w:rPr>
        <w:t>COVID onset → ~25% higher deaths (risk factor)</w:t>
      </w:r>
    </w:p>
    <w:p w14:paraId="675269BF" w14:textId="77777777" w:rsidR="00D3667B" w:rsidRPr="00D3667B" w:rsidRDefault="00D3667B" w:rsidP="00D3667B">
      <w:pPr>
        <w:numPr>
          <w:ilvl w:val="0"/>
          <w:numId w:val="3"/>
        </w:numPr>
      </w:pPr>
      <w:r w:rsidRPr="00D3667B">
        <w:t>Year trend, fentanyl surge, Narcan distribution, vending machines, booster campaigns → not significant</w:t>
      </w:r>
    </w:p>
    <w:p w14:paraId="09C8D6B9" w14:textId="37E258DA" w:rsidR="00AB60B3" w:rsidRDefault="00AB60B3"/>
    <w:sectPr w:rsidR="00AB6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4E7C"/>
    <w:multiLevelType w:val="hybridMultilevel"/>
    <w:tmpl w:val="3E92D7D8"/>
    <w:lvl w:ilvl="0" w:tplc="31F25E1E">
      <w:start w:val="1"/>
      <w:numFmt w:val="bullet"/>
      <w:lvlText w:val="•"/>
      <w:lvlJc w:val="left"/>
      <w:pPr>
        <w:tabs>
          <w:tab w:val="num" w:pos="720"/>
        </w:tabs>
        <w:ind w:left="720" w:hanging="360"/>
      </w:pPr>
      <w:rPr>
        <w:rFonts w:ascii="Arial" w:hAnsi="Arial" w:hint="default"/>
      </w:rPr>
    </w:lvl>
    <w:lvl w:ilvl="1" w:tplc="2C308B4C" w:tentative="1">
      <w:start w:val="1"/>
      <w:numFmt w:val="bullet"/>
      <w:lvlText w:val="•"/>
      <w:lvlJc w:val="left"/>
      <w:pPr>
        <w:tabs>
          <w:tab w:val="num" w:pos="1440"/>
        </w:tabs>
        <w:ind w:left="1440" w:hanging="360"/>
      </w:pPr>
      <w:rPr>
        <w:rFonts w:ascii="Arial" w:hAnsi="Arial" w:hint="default"/>
      </w:rPr>
    </w:lvl>
    <w:lvl w:ilvl="2" w:tplc="7C72A676" w:tentative="1">
      <w:start w:val="1"/>
      <w:numFmt w:val="bullet"/>
      <w:lvlText w:val="•"/>
      <w:lvlJc w:val="left"/>
      <w:pPr>
        <w:tabs>
          <w:tab w:val="num" w:pos="2160"/>
        </w:tabs>
        <w:ind w:left="2160" w:hanging="360"/>
      </w:pPr>
      <w:rPr>
        <w:rFonts w:ascii="Arial" w:hAnsi="Arial" w:hint="default"/>
      </w:rPr>
    </w:lvl>
    <w:lvl w:ilvl="3" w:tplc="65447B6E" w:tentative="1">
      <w:start w:val="1"/>
      <w:numFmt w:val="bullet"/>
      <w:lvlText w:val="•"/>
      <w:lvlJc w:val="left"/>
      <w:pPr>
        <w:tabs>
          <w:tab w:val="num" w:pos="2880"/>
        </w:tabs>
        <w:ind w:left="2880" w:hanging="360"/>
      </w:pPr>
      <w:rPr>
        <w:rFonts w:ascii="Arial" w:hAnsi="Arial" w:hint="default"/>
      </w:rPr>
    </w:lvl>
    <w:lvl w:ilvl="4" w:tplc="B0C06C92" w:tentative="1">
      <w:start w:val="1"/>
      <w:numFmt w:val="bullet"/>
      <w:lvlText w:val="•"/>
      <w:lvlJc w:val="left"/>
      <w:pPr>
        <w:tabs>
          <w:tab w:val="num" w:pos="3600"/>
        </w:tabs>
        <w:ind w:left="3600" w:hanging="360"/>
      </w:pPr>
      <w:rPr>
        <w:rFonts w:ascii="Arial" w:hAnsi="Arial" w:hint="default"/>
      </w:rPr>
    </w:lvl>
    <w:lvl w:ilvl="5" w:tplc="9B406870" w:tentative="1">
      <w:start w:val="1"/>
      <w:numFmt w:val="bullet"/>
      <w:lvlText w:val="•"/>
      <w:lvlJc w:val="left"/>
      <w:pPr>
        <w:tabs>
          <w:tab w:val="num" w:pos="4320"/>
        </w:tabs>
        <w:ind w:left="4320" w:hanging="360"/>
      </w:pPr>
      <w:rPr>
        <w:rFonts w:ascii="Arial" w:hAnsi="Arial" w:hint="default"/>
      </w:rPr>
    </w:lvl>
    <w:lvl w:ilvl="6" w:tplc="1A5EE5B4" w:tentative="1">
      <w:start w:val="1"/>
      <w:numFmt w:val="bullet"/>
      <w:lvlText w:val="•"/>
      <w:lvlJc w:val="left"/>
      <w:pPr>
        <w:tabs>
          <w:tab w:val="num" w:pos="5040"/>
        </w:tabs>
        <w:ind w:left="5040" w:hanging="360"/>
      </w:pPr>
      <w:rPr>
        <w:rFonts w:ascii="Arial" w:hAnsi="Arial" w:hint="default"/>
      </w:rPr>
    </w:lvl>
    <w:lvl w:ilvl="7" w:tplc="A5B8F5B6" w:tentative="1">
      <w:start w:val="1"/>
      <w:numFmt w:val="bullet"/>
      <w:lvlText w:val="•"/>
      <w:lvlJc w:val="left"/>
      <w:pPr>
        <w:tabs>
          <w:tab w:val="num" w:pos="5760"/>
        </w:tabs>
        <w:ind w:left="5760" w:hanging="360"/>
      </w:pPr>
      <w:rPr>
        <w:rFonts w:ascii="Arial" w:hAnsi="Arial" w:hint="default"/>
      </w:rPr>
    </w:lvl>
    <w:lvl w:ilvl="8" w:tplc="0B0E65D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3B92445"/>
    <w:multiLevelType w:val="multilevel"/>
    <w:tmpl w:val="57B2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40856"/>
    <w:multiLevelType w:val="hybridMultilevel"/>
    <w:tmpl w:val="1B6EC622"/>
    <w:lvl w:ilvl="0" w:tplc="7AEC23D2">
      <w:start w:val="1"/>
      <w:numFmt w:val="bullet"/>
      <w:lvlText w:val="•"/>
      <w:lvlJc w:val="left"/>
      <w:pPr>
        <w:tabs>
          <w:tab w:val="num" w:pos="720"/>
        </w:tabs>
        <w:ind w:left="720" w:hanging="360"/>
      </w:pPr>
      <w:rPr>
        <w:rFonts w:ascii="Arial" w:hAnsi="Arial" w:hint="default"/>
      </w:rPr>
    </w:lvl>
    <w:lvl w:ilvl="1" w:tplc="84D6741E" w:tentative="1">
      <w:start w:val="1"/>
      <w:numFmt w:val="bullet"/>
      <w:lvlText w:val="•"/>
      <w:lvlJc w:val="left"/>
      <w:pPr>
        <w:tabs>
          <w:tab w:val="num" w:pos="1440"/>
        </w:tabs>
        <w:ind w:left="1440" w:hanging="360"/>
      </w:pPr>
      <w:rPr>
        <w:rFonts w:ascii="Arial" w:hAnsi="Arial" w:hint="default"/>
      </w:rPr>
    </w:lvl>
    <w:lvl w:ilvl="2" w:tplc="364441D4" w:tentative="1">
      <w:start w:val="1"/>
      <w:numFmt w:val="bullet"/>
      <w:lvlText w:val="•"/>
      <w:lvlJc w:val="left"/>
      <w:pPr>
        <w:tabs>
          <w:tab w:val="num" w:pos="2160"/>
        </w:tabs>
        <w:ind w:left="2160" w:hanging="360"/>
      </w:pPr>
      <w:rPr>
        <w:rFonts w:ascii="Arial" w:hAnsi="Arial" w:hint="default"/>
      </w:rPr>
    </w:lvl>
    <w:lvl w:ilvl="3" w:tplc="E946C4E8" w:tentative="1">
      <w:start w:val="1"/>
      <w:numFmt w:val="bullet"/>
      <w:lvlText w:val="•"/>
      <w:lvlJc w:val="left"/>
      <w:pPr>
        <w:tabs>
          <w:tab w:val="num" w:pos="2880"/>
        </w:tabs>
        <w:ind w:left="2880" w:hanging="360"/>
      </w:pPr>
      <w:rPr>
        <w:rFonts w:ascii="Arial" w:hAnsi="Arial" w:hint="default"/>
      </w:rPr>
    </w:lvl>
    <w:lvl w:ilvl="4" w:tplc="7DD25FCA" w:tentative="1">
      <w:start w:val="1"/>
      <w:numFmt w:val="bullet"/>
      <w:lvlText w:val="•"/>
      <w:lvlJc w:val="left"/>
      <w:pPr>
        <w:tabs>
          <w:tab w:val="num" w:pos="3600"/>
        </w:tabs>
        <w:ind w:left="3600" w:hanging="360"/>
      </w:pPr>
      <w:rPr>
        <w:rFonts w:ascii="Arial" w:hAnsi="Arial" w:hint="default"/>
      </w:rPr>
    </w:lvl>
    <w:lvl w:ilvl="5" w:tplc="6346CAE6" w:tentative="1">
      <w:start w:val="1"/>
      <w:numFmt w:val="bullet"/>
      <w:lvlText w:val="•"/>
      <w:lvlJc w:val="left"/>
      <w:pPr>
        <w:tabs>
          <w:tab w:val="num" w:pos="4320"/>
        </w:tabs>
        <w:ind w:left="4320" w:hanging="360"/>
      </w:pPr>
      <w:rPr>
        <w:rFonts w:ascii="Arial" w:hAnsi="Arial" w:hint="default"/>
      </w:rPr>
    </w:lvl>
    <w:lvl w:ilvl="6" w:tplc="4E7EBC8E" w:tentative="1">
      <w:start w:val="1"/>
      <w:numFmt w:val="bullet"/>
      <w:lvlText w:val="•"/>
      <w:lvlJc w:val="left"/>
      <w:pPr>
        <w:tabs>
          <w:tab w:val="num" w:pos="5040"/>
        </w:tabs>
        <w:ind w:left="5040" w:hanging="360"/>
      </w:pPr>
      <w:rPr>
        <w:rFonts w:ascii="Arial" w:hAnsi="Arial" w:hint="default"/>
      </w:rPr>
    </w:lvl>
    <w:lvl w:ilvl="7" w:tplc="360CF11C" w:tentative="1">
      <w:start w:val="1"/>
      <w:numFmt w:val="bullet"/>
      <w:lvlText w:val="•"/>
      <w:lvlJc w:val="left"/>
      <w:pPr>
        <w:tabs>
          <w:tab w:val="num" w:pos="5760"/>
        </w:tabs>
        <w:ind w:left="5760" w:hanging="360"/>
      </w:pPr>
      <w:rPr>
        <w:rFonts w:ascii="Arial" w:hAnsi="Arial" w:hint="default"/>
      </w:rPr>
    </w:lvl>
    <w:lvl w:ilvl="8" w:tplc="7B062D6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5CC0BB2"/>
    <w:multiLevelType w:val="hybridMultilevel"/>
    <w:tmpl w:val="CDBAD0F4"/>
    <w:lvl w:ilvl="0" w:tplc="9E1C1DEA">
      <w:start w:val="1"/>
      <w:numFmt w:val="bullet"/>
      <w:lvlText w:val="•"/>
      <w:lvlJc w:val="left"/>
      <w:pPr>
        <w:tabs>
          <w:tab w:val="num" w:pos="720"/>
        </w:tabs>
        <w:ind w:left="720" w:hanging="360"/>
      </w:pPr>
      <w:rPr>
        <w:rFonts w:ascii="Arial" w:hAnsi="Arial" w:hint="default"/>
      </w:rPr>
    </w:lvl>
    <w:lvl w:ilvl="1" w:tplc="EB442BE2" w:tentative="1">
      <w:start w:val="1"/>
      <w:numFmt w:val="bullet"/>
      <w:lvlText w:val="•"/>
      <w:lvlJc w:val="left"/>
      <w:pPr>
        <w:tabs>
          <w:tab w:val="num" w:pos="1440"/>
        </w:tabs>
        <w:ind w:left="1440" w:hanging="360"/>
      </w:pPr>
      <w:rPr>
        <w:rFonts w:ascii="Arial" w:hAnsi="Arial" w:hint="default"/>
      </w:rPr>
    </w:lvl>
    <w:lvl w:ilvl="2" w:tplc="0070437E" w:tentative="1">
      <w:start w:val="1"/>
      <w:numFmt w:val="bullet"/>
      <w:lvlText w:val="•"/>
      <w:lvlJc w:val="left"/>
      <w:pPr>
        <w:tabs>
          <w:tab w:val="num" w:pos="2160"/>
        </w:tabs>
        <w:ind w:left="2160" w:hanging="360"/>
      </w:pPr>
      <w:rPr>
        <w:rFonts w:ascii="Arial" w:hAnsi="Arial" w:hint="default"/>
      </w:rPr>
    </w:lvl>
    <w:lvl w:ilvl="3" w:tplc="B232C392" w:tentative="1">
      <w:start w:val="1"/>
      <w:numFmt w:val="bullet"/>
      <w:lvlText w:val="•"/>
      <w:lvlJc w:val="left"/>
      <w:pPr>
        <w:tabs>
          <w:tab w:val="num" w:pos="2880"/>
        </w:tabs>
        <w:ind w:left="2880" w:hanging="360"/>
      </w:pPr>
      <w:rPr>
        <w:rFonts w:ascii="Arial" w:hAnsi="Arial" w:hint="default"/>
      </w:rPr>
    </w:lvl>
    <w:lvl w:ilvl="4" w:tplc="4D262398" w:tentative="1">
      <w:start w:val="1"/>
      <w:numFmt w:val="bullet"/>
      <w:lvlText w:val="•"/>
      <w:lvlJc w:val="left"/>
      <w:pPr>
        <w:tabs>
          <w:tab w:val="num" w:pos="3600"/>
        </w:tabs>
        <w:ind w:left="3600" w:hanging="360"/>
      </w:pPr>
      <w:rPr>
        <w:rFonts w:ascii="Arial" w:hAnsi="Arial" w:hint="default"/>
      </w:rPr>
    </w:lvl>
    <w:lvl w:ilvl="5" w:tplc="F06E44FE" w:tentative="1">
      <w:start w:val="1"/>
      <w:numFmt w:val="bullet"/>
      <w:lvlText w:val="•"/>
      <w:lvlJc w:val="left"/>
      <w:pPr>
        <w:tabs>
          <w:tab w:val="num" w:pos="4320"/>
        </w:tabs>
        <w:ind w:left="4320" w:hanging="360"/>
      </w:pPr>
      <w:rPr>
        <w:rFonts w:ascii="Arial" w:hAnsi="Arial" w:hint="default"/>
      </w:rPr>
    </w:lvl>
    <w:lvl w:ilvl="6" w:tplc="3A0083C6" w:tentative="1">
      <w:start w:val="1"/>
      <w:numFmt w:val="bullet"/>
      <w:lvlText w:val="•"/>
      <w:lvlJc w:val="left"/>
      <w:pPr>
        <w:tabs>
          <w:tab w:val="num" w:pos="5040"/>
        </w:tabs>
        <w:ind w:left="5040" w:hanging="360"/>
      </w:pPr>
      <w:rPr>
        <w:rFonts w:ascii="Arial" w:hAnsi="Arial" w:hint="default"/>
      </w:rPr>
    </w:lvl>
    <w:lvl w:ilvl="7" w:tplc="B3B0D7CE" w:tentative="1">
      <w:start w:val="1"/>
      <w:numFmt w:val="bullet"/>
      <w:lvlText w:val="•"/>
      <w:lvlJc w:val="left"/>
      <w:pPr>
        <w:tabs>
          <w:tab w:val="num" w:pos="5760"/>
        </w:tabs>
        <w:ind w:left="5760" w:hanging="360"/>
      </w:pPr>
      <w:rPr>
        <w:rFonts w:ascii="Arial" w:hAnsi="Arial" w:hint="default"/>
      </w:rPr>
    </w:lvl>
    <w:lvl w:ilvl="8" w:tplc="91363CE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1E07E9A"/>
    <w:multiLevelType w:val="multilevel"/>
    <w:tmpl w:val="63E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010178">
    <w:abstractNumId w:val="4"/>
  </w:num>
  <w:num w:numId="2" w16cid:durableId="745690403">
    <w:abstractNumId w:val="1"/>
  </w:num>
  <w:num w:numId="3" w16cid:durableId="325285674">
    <w:abstractNumId w:val="3"/>
  </w:num>
  <w:num w:numId="4" w16cid:durableId="488864411">
    <w:abstractNumId w:val="2"/>
  </w:num>
  <w:num w:numId="5" w16cid:durableId="807435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7B"/>
    <w:rsid w:val="002452F8"/>
    <w:rsid w:val="007965B7"/>
    <w:rsid w:val="00AB60B3"/>
    <w:rsid w:val="00BB0F5C"/>
    <w:rsid w:val="00D36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986E"/>
  <w15:chartTrackingRefBased/>
  <w15:docId w15:val="{3E5F8D95-6B76-3946-995B-CE0AA033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7B"/>
  </w:style>
  <w:style w:type="paragraph" w:styleId="Heading1">
    <w:name w:val="heading 1"/>
    <w:basedOn w:val="Normal"/>
    <w:next w:val="Normal"/>
    <w:link w:val="Heading1Char"/>
    <w:uiPriority w:val="9"/>
    <w:qFormat/>
    <w:rsid w:val="00D36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6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6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67B"/>
    <w:rPr>
      <w:rFonts w:eastAsiaTheme="majorEastAsia" w:cstheme="majorBidi"/>
      <w:color w:val="272727" w:themeColor="text1" w:themeTint="D8"/>
    </w:rPr>
  </w:style>
  <w:style w:type="paragraph" w:styleId="Title">
    <w:name w:val="Title"/>
    <w:basedOn w:val="Normal"/>
    <w:next w:val="Normal"/>
    <w:link w:val="TitleChar"/>
    <w:uiPriority w:val="10"/>
    <w:qFormat/>
    <w:rsid w:val="00D36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67B"/>
    <w:pPr>
      <w:spacing w:before="160"/>
      <w:jc w:val="center"/>
    </w:pPr>
    <w:rPr>
      <w:i/>
      <w:iCs/>
      <w:color w:val="404040" w:themeColor="text1" w:themeTint="BF"/>
    </w:rPr>
  </w:style>
  <w:style w:type="character" w:customStyle="1" w:styleId="QuoteChar">
    <w:name w:val="Quote Char"/>
    <w:basedOn w:val="DefaultParagraphFont"/>
    <w:link w:val="Quote"/>
    <w:uiPriority w:val="29"/>
    <w:rsid w:val="00D3667B"/>
    <w:rPr>
      <w:i/>
      <w:iCs/>
      <w:color w:val="404040" w:themeColor="text1" w:themeTint="BF"/>
    </w:rPr>
  </w:style>
  <w:style w:type="paragraph" w:styleId="ListParagraph">
    <w:name w:val="List Paragraph"/>
    <w:basedOn w:val="Normal"/>
    <w:uiPriority w:val="34"/>
    <w:qFormat/>
    <w:rsid w:val="00D3667B"/>
    <w:pPr>
      <w:ind w:left="720"/>
      <w:contextualSpacing/>
    </w:pPr>
  </w:style>
  <w:style w:type="character" w:styleId="IntenseEmphasis">
    <w:name w:val="Intense Emphasis"/>
    <w:basedOn w:val="DefaultParagraphFont"/>
    <w:uiPriority w:val="21"/>
    <w:qFormat/>
    <w:rsid w:val="00D3667B"/>
    <w:rPr>
      <w:i/>
      <w:iCs/>
      <w:color w:val="0F4761" w:themeColor="accent1" w:themeShade="BF"/>
    </w:rPr>
  </w:style>
  <w:style w:type="paragraph" w:styleId="IntenseQuote">
    <w:name w:val="Intense Quote"/>
    <w:basedOn w:val="Normal"/>
    <w:next w:val="Normal"/>
    <w:link w:val="IntenseQuoteChar"/>
    <w:uiPriority w:val="30"/>
    <w:qFormat/>
    <w:rsid w:val="00D36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67B"/>
    <w:rPr>
      <w:i/>
      <w:iCs/>
      <w:color w:val="0F4761" w:themeColor="accent1" w:themeShade="BF"/>
    </w:rPr>
  </w:style>
  <w:style w:type="character" w:styleId="IntenseReference">
    <w:name w:val="Intense Reference"/>
    <w:basedOn w:val="DefaultParagraphFont"/>
    <w:uiPriority w:val="32"/>
    <w:qFormat/>
    <w:rsid w:val="00D3667B"/>
    <w:rPr>
      <w:b/>
      <w:bCs/>
      <w:smallCaps/>
      <w:color w:val="0F4761" w:themeColor="accent1" w:themeShade="BF"/>
      <w:spacing w:val="5"/>
    </w:rPr>
  </w:style>
  <w:style w:type="paragraph" w:styleId="NormalWeb">
    <w:name w:val="Normal (Web)"/>
    <w:basedOn w:val="Normal"/>
    <w:uiPriority w:val="99"/>
    <w:semiHidden/>
    <w:unhideWhenUsed/>
    <w:rsid w:val="00D366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667B"/>
    <w:rPr>
      <w:b/>
      <w:bCs/>
    </w:rPr>
  </w:style>
  <w:style w:type="character" w:customStyle="1" w:styleId="apple-converted-space">
    <w:name w:val="apple-converted-space"/>
    <w:basedOn w:val="DefaultParagraphFont"/>
    <w:rsid w:val="00D3667B"/>
  </w:style>
  <w:style w:type="character" w:styleId="Emphasis">
    <w:name w:val="Emphasis"/>
    <w:basedOn w:val="DefaultParagraphFont"/>
    <w:uiPriority w:val="20"/>
    <w:qFormat/>
    <w:rsid w:val="00D3667B"/>
    <w:rPr>
      <w:i/>
      <w:iCs/>
    </w:rPr>
  </w:style>
  <w:style w:type="character" w:styleId="HTMLCode">
    <w:name w:val="HTML Code"/>
    <w:basedOn w:val="DefaultParagraphFont"/>
    <w:uiPriority w:val="99"/>
    <w:semiHidden/>
    <w:unhideWhenUsed/>
    <w:rsid w:val="00D366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2150</Words>
  <Characters>12256</Characters>
  <Application>Microsoft Office Word</Application>
  <DocSecurity>0</DocSecurity>
  <Lines>102</Lines>
  <Paragraphs>28</Paragraphs>
  <ScaleCrop>false</ScaleCrop>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McGarvey, Michael - Neurology</dc:creator>
  <cp:keywords/>
  <dc:description/>
  <cp:lastModifiedBy>McGarvey, Michael - Neurology</cp:lastModifiedBy>
  <cp:revision>1</cp:revision>
  <dcterms:created xsi:type="dcterms:W3CDTF">2025-11-26T16:42:00Z</dcterms:created>
  <dcterms:modified xsi:type="dcterms:W3CDTF">2025-12-04T18:59:00Z</dcterms:modified>
</cp:coreProperties>
</file>