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0B156" w14:textId="062554FB" w:rsidR="00AB60B3" w:rsidRPr="0076497F" w:rsidRDefault="0076497F">
      <w:pPr>
        <w:rPr>
          <w:b/>
          <w:bCs/>
          <w:sz w:val="28"/>
          <w:szCs w:val="28"/>
        </w:rPr>
      </w:pPr>
      <w:r w:rsidRPr="0076497F">
        <w:rPr>
          <w:b/>
          <w:bCs/>
          <w:sz w:val="28"/>
          <w:szCs w:val="28"/>
        </w:rPr>
        <w:t>Top 10 Causes of Death by Year</w:t>
      </w:r>
    </w:p>
    <w:p w14:paraId="70EB3DEA" w14:textId="77777777" w:rsidR="0076497F" w:rsidRPr="0076497F" w:rsidRDefault="0076497F" w:rsidP="0076497F">
      <w:pPr>
        <w:pStyle w:val="NormalWeb"/>
        <w:rPr>
          <w:rStyle w:val="Strong"/>
          <w:rFonts w:eastAsiaTheme="majorEastAsia"/>
          <w:sz w:val="28"/>
          <w:szCs w:val="28"/>
        </w:rPr>
      </w:pPr>
      <w:r w:rsidRPr="0076497F">
        <w:rPr>
          <w:rStyle w:val="Strong"/>
          <w:rFonts w:eastAsiaTheme="majorEastAsia"/>
          <w:sz w:val="28"/>
          <w:szCs w:val="28"/>
        </w:rPr>
        <w:t>Mortality Summaries</w:t>
      </w:r>
    </w:p>
    <w:p w14:paraId="2514F306" w14:textId="77777777" w:rsidR="0076497F" w:rsidRPr="0076497F" w:rsidRDefault="0076497F" w:rsidP="0076497F">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76497F">
        <w:rPr>
          <w:rFonts w:ascii="Times New Roman" w:eastAsia="Times New Roman" w:hAnsi="Times New Roman" w:cs="Times New Roman"/>
          <w:b/>
          <w:bCs/>
          <w:kern w:val="0"/>
          <w:sz w:val="28"/>
          <w:szCs w:val="28"/>
          <w14:ligatures w14:val="none"/>
        </w:rPr>
        <w:t>Interrupted Time Series Analysis of Mortality Trends in Philadelphia</w:t>
      </w:r>
    </w:p>
    <w:p w14:paraId="54F3708D" w14:textId="77777777" w:rsidR="0076497F" w:rsidRPr="0076497F" w:rsidRDefault="0076497F" w:rsidP="0076497F">
      <w:pPr>
        <w:pStyle w:val="NormalWeb"/>
        <w:rPr>
          <w:sz w:val="28"/>
          <w:szCs w:val="28"/>
        </w:rPr>
      </w:pPr>
    </w:p>
    <w:p w14:paraId="39C84366" w14:textId="77777777" w:rsidR="0076497F" w:rsidRDefault="0076497F" w:rsidP="0076497F">
      <w:pPr>
        <w:pStyle w:val="NormalWeb"/>
        <w:rPr>
          <w:rStyle w:val="Strong"/>
          <w:rFonts w:eastAsiaTheme="majorEastAsia"/>
          <w:sz w:val="28"/>
          <w:szCs w:val="28"/>
        </w:rPr>
      </w:pPr>
      <w:r w:rsidRPr="0076497F">
        <w:rPr>
          <w:rStyle w:val="Strong"/>
          <w:rFonts w:eastAsiaTheme="majorEastAsia"/>
          <w:sz w:val="28"/>
          <w:szCs w:val="28"/>
        </w:rPr>
        <w:t>Demographic Analysis of Mortality Trends Using Raw Death Counts:</w:t>
      </w:r>
    </w:p>
    <w:p w14:paraId="1EC1B35F" w14:textId="77777777" w:rsidR="0076497F" w:rsidRPr="0076497F" w:rsidRDefault="0076497F" w:rsidP="0076497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76497F">
        <w:rPr>
          <w:rFonts w:ascii="Times New Roman" w:eastAsia="Times New Roman" w:hAnsi="Times New Roman" w:cs="Times New Roman"/>
          <w:b/>
          <w:bCs/>
          <w:kern w:val="0"/>
          <w14:ligatures w14:val="none"/>
        </w:rPr>
        <w:t>Combined ITS Visualization for Side</w:t>
      </w:r>
      <w:r w:rsidRPr="0076497F">
        <w:rPr>
          <w:rFonts w:ascii="Times New Roman" w:eastAsia="Times New Roman" w:hAnsi="Times New Roman" w:cs="Times New Roman"/>
          <w:b/>
          <w:bCs/>
          <w:kern w:val="0"/>
          <w14:ligatures w14:val="none"/>
        </w:rPr>
        <w:noBreakHyphen/>
        <w:t>by</w:t>
      </w:r>
      <w:r w:rsidRPr="0076497F">
        <w:rPr>
          <w:rFonts w:ascii="Times New Roman" w:eastAsia="Times New Roman" w:hAnsi="Times New Roman" w:cs="Times New Roman"/>
          <w:b/>
          <w:bCs/>
          <w:kern w:val="0"/>
          <w14:ligatures w14:val="none"/>
        </w:rPr>
        <w:noBreakHyphen/>
        <w:t>Side Comparison</w:t>
      </w:r>
    </w:p>
    <w:p w14:paraId="5CEE7BA7" w14:textId="77777777" w:rsidR="0076497F" w:rsidRPr="0076497F" w:rsidRDefault="0076497F" w:rsidP="0076497F">
      <w:pPr>
        <w:pStyle w:val="NormalWeb"/>
        <w:rPr>
          <w:sz w:val="28"/>
          <w:szCs w:val="28"/>
        </w:rPr>
      </w:pPr>
    </w:p>
    <w:p w14:paraId="2165558B" w14:textId="77777777" w:rsidR="0076497F" w:rsidRDefault="0076497F" w:rsidP="007649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497F">
        <w:rPr>
          <w:rFonts w:ascii="Times New Roman" w:eastAsia="Times New Roman" w:hAnsi="Times New Roman" w:cs="Times New Roman"/>
          <w:b/>
          <w:bCs/>
          <w:kern w:val="0"/>
          <w:sz w:val="36"/>
          <w:szCs w:val="36"/>
          <w14:ligatures w14:val="none"/>
        </w:rPr>
        <w:t>Overview</w:t>
      </w:r>
    </w:p>
    <w:p w14:paraId="5F6FC6A1" w14:textId="77777777" w:rsidR="0076497F" w:rsidRDefault="0076497F" w:rsidP="007649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497F">
        <w:rPr>
          <w:rFonts w:ascii="Times New Roman" w:eastAsia="Times New Roman" w:hAnsi="Times New Roman" w:cs="Times New Roman"/>
          <w:b/>
          <w:bCs/>
          <w:kern w:val="0"/>
          <w:sz w:val="36"/>
          <w:szCs w:val="36"/>
          <w14:ligatures w14:val="none"/>
        </w:rPr>
        <w:t>Introduction</w:t>
      </w:r>
    </w:p>
    <w:p w14:paraId="030957D3" w14:textId="77777777" w:rsidR="0076497F" w:rsidRDefault="0076497F" w:rsidP="0076497F">
      <w:pPr>
        <w:pStyle w:val="NormalWeb"/>
        <w:rPr>
          <w:rStyle w:val="Strong"/>
          <w:rFonts w:eastAsiaTheme="majorEastAsia"/>
        </w:rPr>
      </w:pPr>
      <w:r>
        <w:rPr>
          <w:rStyle w:val="Strong"/>
          <w:rFonts w:eastAsiaTheme="majorEastAsia"/>
        </w:rPr>
        <w:t>Demographic Analysis of Mortality Trends Using Raw Death Counts</w:t>
      </w:r>
    </w:p>
    <w:p w14:paraId="367FB3C4" w14:textId="076E6B15" w:rsidR="0076497F" w:rsidRDefault="0076497F" w:rsidP="0076497F">
      <w:pPr>
        <w:pStyle w:val="NormalWeb"/>
      </w:pPr>
      <w:r>
        <w:t>O</w:t>
      </w:r>
      <w:r>
        <w:t>verdo</w:t>
      </w:r>
    </w:p>
    <w:p w14:paraId="537093B1" w14:textId="2882C559" w:rsidR="0076497F" w:rsidRPr="0076497F" w:rsidRDefault="0076497F" w:rsidP="0076497F">
      <w:pPr>
        <w:spacing w:before="100" w:beforeAutospacing="1" w:after="100" w:afterAutospacing="1" w:line="240" w:lineRule="auto"/>
        <w:outlineLvl w:val="2"/>
        <w:rPr>
          <w:rFonts w:ascii="Times New Roman" w:eastAsia="Times New Roman" w:hAnsi="Times New Roman" w:cs="Times New Roman"/>
          <w:kern w:val="0"/>
          <w:sz w:val="22"/>
          <w:szCs w:val="22"/>
          <w14:ligatures w14:val="none"/>
        </w:rPr>
      </w:pPr>
      <w:r w:rsidRPr="0076497F">
        <w:rPr>
          <w:rFonts w:ascii="Times New Roman" w:eastAsia="Times New Roman" w:hAnsi="Times New Roman" w:cs="Times New Roman"/>
          <w:b/>
          <w:bCs/>
          <w:kern w:val="0"/>
          <w:sz w:val="22"/>
          <w:szCs w:val="22"/>
          <w14:ligatures w14:val="none"/>
        </w:rPr>
        <w:t>Multiple Opioid Interventions in ITS:</w:t>
      </w:r>
      <w:r w:rsidRPr="0076497F">
        <w:rPr>
          <w:rFonts w:ascii="Times New Roman" w:eastAsia="Times New Roman" w:hAnsi="Times New Roman" w:cs="Times New Roman"/>
          <w:kern w:val="0"/>
          <w:sz w:val="22"/>
          <w:szCs w:val="22"/>
          <w14:ligatures w14:val="none"/>
        </w:rPr>
        <w:t xml:space="preserve"> I applied Interrupted Time Series (ITS) regression to annual unintentional drug overdose deaths in Philadelphia, using them as a proxy for opioid mortality. Intervention years were defined as 2014 (fentanyl surge), 2017 (Narcan distribution), 2022 (Narcan vending machines), and 2023 (OTC Narcan availability). For each intervention, dummy indicators captured immediate level changes, and slope variables captured changes in trajectory after the intervention. A linear regression model including all terms was fit, and fitted values were plotted against observed deaths with vertical dashed lines marking intervention years.</w:t>
      </w:r>
    </w:p>
    <w:p w14:paraId="0D31E5CF" w14:textId="77777777" w:rsidR="0076497F" w:rsidRPr="0076497F" w:rsidRDefault="0076497F" w:rsidP="0076497F">
      <w:pPr>
        <w:spacing w:before="100" w:beforeAutospacing="1" w:after="100" w:afterAutospacing="1" w:line="240" w:lineRule="auto"/>
        <w:outlineLvl w:val="2"/>
        <w:rPr>
          <w:rFonts w:ascii="Times New Roman" w:eastAsia="Times New Roman" w:hAnsi="Times New Roman" w:cs="Times New Roman"/>
          <w:kern w:val="0"/>
          <w:sz w:val="22"/>
          <w:szCs w:val="22"/>
          <w14:ligatures w14:val="none"/>
        </w:rPr>
      </w:pPr>
      <w:r w:rsidRPr="0076497F">
        <w:rPr>
          <w:rFonts w:ascii="Times New Roman" w:eastAsia="Times New Roman" w:hAnsi="Times New Roman" w:cs="Times New Roman"/>
          <w:kern w:val="0"/>
          <w:sz w:val="22"/>
          <w:szCs w:val="22"/>
          <w14:ligatures w14:val="none"/>
        </w:rPr>
        <w:t>Multiple Opioid Interventions in ITS: I applied Interrupted Time Series (ITS) regression to annual unintentional drug overdose deaths in Philadelphia, using them as a proxy for opioid mortality. Intervention years were defined as 2014 (fentanyl surge), 2017 (Narcan distribution), 2022 (Narcan vending machines), and 2023 (OTC Narcan availability). For each intervention, dummy indicators captured immediate level changes, and slope variables captured changes in trajectory after the intervention. A linear regression model including all terms was fit, and fitted values were plotted against observed deaths with vertical dashed lines marking intervention years.</w:t>
      </w:r>
    </w:p>
    <w:p w14:paraId="004E1678" w14:textId="77777777" w:rsidR="0076497F" w:rsidRDefault="0076497F" w:rsidP="0076497F">
      <w:pPr>
        <w:spacing w:before="100" w:beforeAutospacing="1" w:after="100" w:afterAutospacing="1" w:line="240" w:lineRule="auto"/>
        <w:rPr>
          <w:rFonts w:ascii="Times New Roman" w:eastAsia="Times New Roman" w:hAnsi="Times New Roman" w:cs="Times New Roman"/>
          <w:kern w:val="0"/>
          <w14:ligatures w14:val="none"/>
        </w:rPr>
      </w:pPr>
      <w:r w:rsidRPr="0076497F">
        <w:rPr>
          <w:rFonts w:ascii="Times New Roman" w:eastAsia="Times New Roman" w:hAnsi="Times New Roman" w:cs="Times New Roman"/>
          <w:kern w:val="0"/>
          <w:sz w:val="22"/>
          <w:szCs w:val="22"/>
          <w14:ligatures w14:val="none"/>
        </w:rPr>
        <w:t>The model explained nearly all variation in overdose deaths (R² = 0.99, adjusted R² = 0.96) with a highly significant overall fit. Baseline deaths were estimated at ≈ 481 (p ≈ 0.019), with no significant underlying time trend before interventions (–52 per year, p ≈ 0.55). Results show that the 2014 fentanyl surge was associated with a small negative level change (≈ –14, p ≈ 0.90) and a positive slope (≈ +160 per year, p ≈ 0.15), neither statistically significant. The 2017 Narcan distribution produced a positive level change (≈ +213, p ≈ 0.053, marginally significant) but no</w:t>
      </w:r>
      <w:r w:rsidRPr="0076497F">
        <w:rPr>
          <w:rFonts w:ascii="Times New Roman" w:eastAsia="Times New Roman" w:hAnsi="Times New Roman" w:cs="Times New Roman"/>
          <w:kern w:val="0"/>
          <w14:ligatures w14:val="none"/>
        </w:rPr>
        <w:t xml:space="preserve"> significant slope effect. The 2022 vending machine rollout was associated with both a large immediate increase (≈ +423, p ≈ 0.017) and a significant negative slope thereafter (≈ –356 per year, p ≈ 0.012), suggesting deaths rose sharply but then </w:t>
      </w:r>
      <w:r w:rsidRPr="0076497F">
        <w:rPr>
          <w:rFonts w:ascii="Times New Roman" w:eastAsia="Times New Roman" w:hAnsi="Times New Roman" w:cs="Times New Roman"/>
          <w:kern w:val="0"/>
          <w14:ligatures w14:val="none"/>
        </w:rPr>
        <w:lastRenderedPageBreak/>
        <w:t>declined. The 2023 OTC Narcan availability showed a positive level change (≈ +231, p ≈ 0.17), but this was not statistically significant. The slope term for 2023 was dropped due to collinearity, reflecting limited annual data points.</w:t>
      </w:r>
    </w:p>
    <w:p w14:paraId="03D5CC30" w14:textId="77CFF745" w:rsidR="0076497F" w:rsidRPr="0076497F" w:rsidRDefault="0076497F" w:rsidP="0076497F">
      <w:pPr>
        <w:spacing w:before="100" w:beforeAutospacing="1" w:after="100" w:afterAutospacing="1" w:line="240" w:lineRule="auto"/>
        <w:rPr>
          <w:rFonts w:ascii="Times New Roman" w:eastAsia="Times New Roman" w:hAnsi="Times New Roman" w:cs="Times New Roman"/>
          <w:kern w:val="0"/>
          <w14:ligatures w14:val="none"/>
        </w:rPr>
      </w:pPr>
      <w:r w:rsidRPr="0076497F">
        <w:rPr>
          <w:rFonts w:ascii="Times New Roman" w:eastAsia="Times New Roman" w:hAnsi="Times New Roman" w:cs="Times New Roman"/>
          <w:kern w:val="0"/>
          <w14:ligatures w14:val="none"/>
        </w:rPr>
        <w:t>Taken together, these findings indicate that opioid interventions in 2017 and 2022 coincided with meaningful shifts in overdose mortality patterns, while other milestones had less measurable impact. ITS provides a structured way to detect both sharp disruptions and gradual changes in mortality trends, though results must be interpreted cautiously given data granularity and overlapping events.</w:t>
      </w:r>
    </w:p>
    <w:p w14:paraId="4CBFADFC" w14:textId="77777777" w:rsidR="0076497F" w:rsidRPr="0076497F" w:rsidRDefault="0076497F" w:rsidP="0076497F">
      <w:pPr>
        <w:spacing w:before="100" w:beforeAutospacing="1" w:after="100" w:afterAutospacing="1" w:line="240" w:lineRule="auto"/>
        <w:outlineLvl w:val="2"/>
        <w:rPr>
          <w:rFonts w:ascii="Times New Roman" w:eastAsia="Times New Roman" w:hAnsi="Times New Roman" w:cs="Times New Roman"/>
          <w:kern w:val="0"/>
          <w14:ligatures w14:val="none"/>
        </w:rPr>
      </w:pPr>
      <w:r w:rsidRPr="0076497F">
        <w:rPr>
          <w:rFonts w:ascii="Times New Roman" w:eastAsia="Times New Roman" w:hAnsi="Times New Roman" w:cs="Times New Roman"/>
          <w:kern w:val="0"/>
          <w14:ligatures w14:val="none"/>
        </w:rPr>
        <w:t>Multiple Opioid Interventions in ITS: I applied Interrupted Time Series (ITS) regression to annual unintentional drug overdose deaths in Philadelphia, using them as a proxy for opioid mortality. Intervention years were defined as 2014 (fentanyl surge), 2017 (Narcan distribution), 2022 (Narcan vending machines), and 2023 (OTC Narcan availability). For each intervention, dummy indicators captured immediate level changes, and slope variables captured changes in trajectory after the intervention. A linear regression model including all terms was fit, and fitted values were plotted against observed deaths with vertical dashed lines marking intervention years.</w:t>
      </w:r>
    </w:p>
    <w:p w14:paraId="7082848B" w14:textId="77777777" w:rsidR="0076497F" w:rsidRPr="0076497F" w:rsidRDefault="0076497F" w:rsidP="0076497F">
      <w:pPr>
        <w:spacing w:before="100" w:beforeAutospacing="1" w:after="100" w:afterAutospacing="1" w:line="240" w:lineRule="auto"/>
        <w:rPr>
          <w:rFonts w:ascii="Times New Roman" w:eastAsia="Times New Roman" w:hAnsi="Times New Roman" w:cs="Times New Roman"/>
          <w:kern w:val="0"/>
          <w14:ligatures w14:val="none"/>
        </w:rPr>
      </w:pPr>
      <w:r w:rsidRPr="0076497F">
        <w:rPr>
          <w:rFonts w:ascii="Times New Roman" w:eastAsia="Times New Roman" w:hAnsi="Times New Roman" w:cs="Times New Roman"/>
          <w:kern w:val="0"/>
          <w14:ligatures w14:val="none"/>
        </w:rPr>
        <w:t>Multiple Opioid Interventions in ITS: I applied Interrupted Time Series (ITS) regression to annual unintentional drug overdose deaths in Philadelphia, using them as a proxy for opioid mortality. Intervention years were defined as 2014 (fentanyl surge), 2017 (Narcan distribution), 2022 (Narcan vending machines), and 2023 (OTC Narcan availability). For each intervention, dummy indicators captured immediate level changes, and slope variables captured changes in trajectory after the intervention. A linear regression model including all terms was fit, and fitted values were plotted against observed deaths with vertical dashed lines marking intervention years.</w:t>
      </w:r>
    </w:p>
    <w:p w14:paraId="5A23CD31" w14:textId="77777777" w:rsidR="0076497F" w:rsidRPr="0076497F" w:rsidRDefault="0076497F" w:rsidP="0076497F">
      <w:pPr>
        <w:spacing w:before="100" w:beforeAutospacing="1" w:after="100" w:afterAutospacing="1" w:line="240" w:lineRule="auto"/>
        <w:rPr>
          <w:rFonts w:ascii="Times New Roman" w:eastAsia="Times New Roman" w:hAnsi="Times New Roman" w:cs="Times New Roman"/>
          <w:kern w:val="0"/>
          <w14:ligatures w14:val="none"/>
        </w:rPr>
      </w:pPr>
      <w:r w:rsidRPr="0076497F">
        <w:rPr>
          <w:rFonts w:ascii="Times New Roman" w:eastAsia="Times New Roman" w:hAnsi="Times New Roman" w:cs="Times New Roman"/>
          <w:kern w:val="0"/>
          <w14:ligatures w14:val="none"/>
        </w:rPr>
        <w:t>The model explained nearly all variation in overdose deaths (R² = 0.99, adjusted R² = 0.96) with a highly significant overall fit. Baseline deaths were estimated at ≈ 481 (p ≈ 0.019), with no significant underlying time trend before interventions (–52 per year, p ≈ 0.55). Results show that the 2014 fentanyl surge was associated with a small negative level change (≈ –14, p ≈ 0.90) and a positive slope (≈ +160 per year, p ≈ 0.15), neither statistically significant. The 2017 Narcan distribution produced a positive level change (≈ +213, p ≈ 0.053, marginally significant) but no significant slope effect. The 2022 vending machine rollout was associated with both a large immediate increase (≈ +423, p ≈ 0.017) and a significant negative slope thereafter (≈ –356 per year, p ≈ 0.012), suggesting deaths rose sharply but then declined. The 2023 OTC Narcan availability showed a positive level change (≈ +231, p ≈ 0.17), but this was not statistically significant. The slope term for 2023 was dropped due to collinearity, reflecting limited annual data points.</w:t>
      </w:r>
    </w:p>
    <w:p w14:paraId="2A83C504" w14:textId="77777777" w:rsidR="0076497F" w:rsidRPr="0076497F" w:rsidRDefault="0076497F" w:rsidP="0076497F">
      <w:pPr>
        <w:spacing w:before="100" w:beforeAutospacing="1" w:after="100" w:afterAutospacing="1" w:line="240" w:lineRule="auto"/>
        <w:rPr>
          <w:rFonts w:ascii="Times New Roman" w:eastAsia="Times New Roman" w:hAnsi="Times New Roman" w:cs="Times New Roman"/>
          <w:kern w:val="0"/>
          <w14:ligatures w14:val="none"/>
        </w:rPr>
      </w:pPr>
      <w:r w:rsidRPr="0076497F">
        <w:rPr>
          <w:rFonts w:ascii="Times New Roman" w:eastAsia="Times New Roman" w:hAnsi="Times New Roman" w:cs="Times New Roman"/>
          <w:kern w:val="0"/>
          <w14:ligatures w14:val="none"/>
        </w:rPr>
        <w:t>Taken together, these findings indicate that opioid interventions in 2017 and 2022 coincided with meaningful shifts in overdose mortality patterns, while other milestones had less measurable impact. ITS provides a structured way to detect both sharp disruptions and gradual changes in mortality trends, though results must be interpreted cautiously given data granularity and overlapping events.</w:t>
      </w:r>
    </w:p>
    <w:p w14:paraId="4A505379" w14:textId="77777777" w:rsidR="0076497F" w:rsidRPr="0076497F" w:rsidRDefault="0076497F" w:rsidP="0076497F">
      <w:pPr>
        <w:spacing w:before="100" w:beforeAutospacing="1" w:after="100" w:afterAutospacing="1" w:line="240" w:lineRule="auto"/>
        <w:rPr>
          <w:rFonts w:ascii="Times New Roman" w:eastAsia="Times New Roman" w:hAnsi="Times New Roman" w:cs="Times New Roman"/>
          <w:kern w:val="0"/>
          <w14:ligatures w14:val="none"/>
        </w:rPr>
      </w:pPr>
    </w:p>
    <w:p w14:paraId="338539A5" w14:textId="77777777" w:rsidR="0076497F" w:rsidRPr="0076497F" w:rsidRDefault="0076497F" w:rsidP="0076497F">
      <w:pPr>
        <w:spacing w:before="100" w:beforeAutospacing="1" w:after="100" w:afterAutospacing="1" w:line="240" w:lineRule="auto"/>
        <w:outlineLvl w:val="2"/>
        <w:rPr>
          <w:rFonts w:ascii="Times New Roman" w:eastAsia="Times New Roman" w:hAnsi="Times New Roman" w:cs="Times New Roman"/>
          <w:kern w:val="0"/>
          <w14:ligatures w14:val="none"/>
        </w:rPr>
      </w:pPr>
    </w:p>
    <w:p w14:paraId="39CC4CA5" w14:textId="420C997D" w:rsidR="0076497F" w:rsidRPr="0076497F" w:rsidRDefault="0076497F" w:rsidP="0076497F">
      <w:pPr>
        <w:pStyle w:val="NormalWeb"/>
        <w:rPr>
          <w:color w:val="000000"/>
        </w:rPr>
      </w:pPr>
      <w:r w:rsidRPr="0076497F">
        <w:rPr>
          <w:rStyle w:val="Strong"/>
          <w:rFonts w:eastAsiaTheme="majorEastAsia"/>
          <w:b w:val="0"/>
          <w:bCs w:val="0"/>
          <w:color w:val="000000"/>
        </w:rPr>
        <w:t>Interrupted Time Series of Grouped COVID and Opioid Mortality Phases in Philadelphia (2012–2024)</w:t>
      </w:r>
      <w:r w:rsidRPr="0076497F">
        <w:rPr>
          <w:color w:val="000000"/>
        </w:rPr>
        <w:t xml:space="preserve">: </w:t>
      </w:r>
      <w:r w:rsidRPr="0076497F">
        <w:rPr>
          <w:color w:val="000000"/>
        </w:rPr>
        <w:t>To improve stability and interpretability, both the COVID and opioid ITS regressions were restructured into broader phases rather than separate intervention years. For COVID mortality, phases were defined as a</w:t>
      </w:r>
      <w:r w:rsidRPr="0076497F">
        <w:rPr>
          <w:rStyle w:val="apple-converted-space"/>
          <w:rFonts w:eastAsiaTheme="majorEastAsia"/>
          <w:color w:val="000000"/>
        </w:rPr>
        <w:t> </w:t>
      </w:r>
      <w:r w:rsidRPr="0076497F">
        <w:rPr>
          <w:rStyle w:val="Strong"/>
          <w:rFonts w:eastAsiaTheme="majorEastAsia"/>
          <w:b w:val="0"/>
          <w:bCs w:val="0"/>
          <w:color w:val="000000"/>
        </w:rPr>
        <w:t>pandemic disruption era (2020–2022)</w:t>
      </w:r>
      <w:r w:rsidRPr="0076497F">
        <w:rPr>
          <w:rStyle w:val="apple-converted-space"/>
          <w:rFonts w:eastAsiaTheme="majorEastAsia"/>
          <w:color w:val="000000"/>
        </w:rPr>
        <w:t> </w:t>
      </w:r>
      <w:r w:rsidRPr="0076497F">
        <w:rPr>
          <w:color w:val="000000"/>
        </w:rPr>
        <w:t>and a</w:t>
      </w:r>
      <w:r w:rsidRPr="0076497F">
        <w:rPr>
          <w:rStyle w:val="apple-converted-space"/>
          <w:rFonts w:eastAsiaTheme="majorEastAsia"/>
          <w:color w:val="000000"/>
        </w:rPr>
        <w:t> </w:t>
      </w:r>
      <w:r w:rsidRPr="0076497F">
        <w:rPr>
          <w:rStyle w:val="Strong"/>
          <w:rFonts w:eastAsiaTheme="majorEastAsia"/>
          <w:b w:val="0"/>
          <w:bCs w:val="0"/>
          <w:color w:val="000000"/>
        </w:rPr>
        <w:t>post</w:t>
      </w:r>
      <w:r w:rsidRPr="0076497F">
        <w:rPr>
          <w:rStyle w:val="Strong"/>
          <w:rFonts w:eastAsiaTheme="majorEastAsia"/>
          <w:b w:val="0"/>
          <w:bCs w:val="0"/>
          <w:color w:val="000000"/>
        </w:rPr>
        <w:noBreakHyphen/>
        <w:t>COVID stabilization era (2023–2024)</w:t>
      </w:r>
      <w:r w:rsidRPr="0076497F">
        <w:rPr>
          <w:color w:val="000000"/>
        </w:rPr>
        <w:t>. For opioid mortality, phases were defined as a</w:t>
      </w:r>
      <w:r w:rsidRPr="0076497F">
        <w:rPr>
          <w:rStyle w:val="apple-converted-space"/>
          <w:rFonts w:eastAsiaTheme="majorEastAsia"/>
          <w:color w:val="000000"/>
        </w:rPr>
        <w:t> </w:t>
      </w:r>
      <w:r w:rsidRPr="0076497F">
        <w:rPr>
          <w:rStyle w:val="Strong"/>
          <w:rFonts w:eastAsiaTheme="majorEastAsia"/>
          <w:b w:val="0"/>
          <w:bCs w:val="0"/>
          <w:color w:val="000000"/>
        </w:rPr>
        <w:t>pre</w:t>
      </w:r>
      <w:r w:rsidRPr="0076497F">
        <w:rPr>
          <w:rStyle w:val="Strong"/>
          <w:rFonts w:eastAsiaTheme="majorEastAsia"/>
          <w:b w:val="0"/>
          <w:bCs w:val="0"/>
          <w:color w:val="000000"/>
        </w:rPr>
        <w:noBreakHyphen/>
        <w:t>fentanyl era (2012–2013)</w:t>
      </w:r>
      <w:r w:rsidRPr="0076497F">
        <w:rPr>
          <w:color w:val="000000"/>
        </w:rPr>
        <w:t>, a</w:t>
      </w:r>
      <w:r w:rsidRPr="0076497F">
        <w:rPr>
          <w:rStyle w:val="apple-converted-space"/>
          <w:rFonts w:eastAsiaTheme="majorEastAsia"/>
          <w:color w:val="000000"/>
        </w:rPr>
        <w:t> </w:t>
      </w:r>
      <w:r w:rsidRPr="0076497F">
        <w:rPr>
          <w:rStyle w:val="Strong"/>
          <w:rFonts w:eastAsiaTheme="majorEastAsia"/>
          <w:b w:val="0"/>
          <w:bCs w:val="0"/>
          <w:color w:val="000000"/>
        </w:rPr>
        <w:t>fentanyl surge era (2014–2016)</w:t>
      </w:r>
      <w:r w:rsidRPr="0076497F">
        <w:rPr>
          <w:color w:val="000000"/>
        </w:rPr>
        <w:t>, and a</w:t>
      </w:r>
      <w:r w:rsidRPr="0076497F">
        <w:rPr>
          <w:rStyle w:val="apple-converted-space"/>
          <w:rFonts w:eastAsiaTheme="majorEastAsia"/>
          <w:color w:val="000000"/>
        </w:rPr>
        <w:t> </w:t>
      </w:r>
      <w:r w:rsidRPr="0076497F">
        <w:rPr>
          <w:rStyle w:val="Strong"/>
          <w:rFonts w:eastAsiaTheme="majorEastAsia"/>
          <w:b w:val="0"/>
          <w:bCs w:val="0"/>
          <w:color w:val="000000"/>
        </w:rPr>
        <w:t>harm</w:t>
      </w:r>
      <w:r w:rsidRPr="0076497F">
        <w:rPr>
          <w:rStyle w:val="Strong"/>
          <w:rFonts w:eastAsiaTheme="majorEastAsia"/>
          <w:b w:val="0"/>
          <w:bCs w:val="0"/>
          <w:color w:val="000000"/>
        </w:rPr>
        <w:noBreakHyphen/>
        <w:t>reduction era (2017–2023)</w:t>
      </w:r>
      <w:r w:rsidRPr="0076497F">
        <w:rPr>
          <w:color w:val="000000"/>
        </w:rPr>
        <w:t>. Dummy indicators captured immediate level changes, while slope variables measured shifts in trajectory within each era. This grouped approach reduced collinearity and provided more reliable estimates than modeling each intervention year separately.</w:t>
      </w:r>
    </w:p>
    <w:p w14:paraId="6DA527FC" w14:textId="77777777" w:rsidR="0076497F" w:rsidRPr="0076497F" w:rsidRDefault="0076497F" w:rsidP="0076497F">
      <w:pPr>
        <w:pStyle w:val="NormalWeb"/>
        <w:rPr>
          <w:color w:val="000000"/>
        </w:rPr>
      </w:pPr>
      <w:r w:rsidRPr="0076497F">
        <w:rPr>
          <w:rStyle w:val="Strong"/>
          <w:rFonts w:eastAsiaTheme="majorEastAsia"/>
          <w:b w:val="0"/>
          <w:bCs w:val="0"/>
          <w:color w:val="000000"/>
        </w:rPr>
        <w:t>COVID mortality results</w:t>
      </w:r>
      <w:r w:rsidRPr="0076497F">
        <w:rPr>
          <w:rStyle w:val="apple-converted-space"/>
          <w:rFonts w:eastAsiaTheme="majorEastAsia"/>
          <w:color w:val="000000"/>
        </w:rPr>
        <w:t> </w:t>
      </w:r>
      <w:r w:rsidRPr="0076497F">
        <w:rPr>
          <w:color w:val="000000"/>
        </w:rPr>
        <w:t>showed zero deaths through 2019, followed by 2,460 deaths in 2020, 1,580 in 2021, 857 in 2022, 173 in 2023, and 94 in 2024. The regression estimated a highly significant immediate level increase of</w:t>
      </w:r>
      <w:r w:rsidRPr="0076497F">
        <w:rPr>
          <w:rStyle w:val="apple-converted-space"/>
          <w:rFonts w:eastAsiaTheme="majorEastAsia"/>
          <w:color w:val="000000"/>
        </w:rPr>
        <w:t> </w:t>
      </w:r>
      <w:r w:rsidRPr="0076497F">
        <w:rPr>
          <w:rStyle w:val="Strong"/>
          <w:rFonts w:eastAsiaTheme="majorEastAsia"/>
          <w:b w:val="0"/>
          <w:bCs w:val="0"/>
          <w:color w:val="000000"/>
        </w:rPr>
        <w:t>≈ 3,235 deaths at the onset of the pandemic era (p &lt; 1.2e</w:t>
      </w:r>
      <w:r w:rsidRPr="0076497F">
        <w:rPr>
          <w:rStyle w:val="Strong"/>
          <w:rFonts w:eastAsiaTheme="majorEastAsia"/>
          <w:b w:val="0"/>
          <w:bCs w:val="0"/>
          <w:color w:val="000000"/>
        </w:rPr>
        <w:noBreakHyphen/>
        <w:t>11)</w:t>
      </w:r>
      <w:r w:rsidRPr="0076497F">
        <w:rPr>
          <w:color w:val="000000"/>
        </w:rPr>
        <w:t>, offset by a significant downward slope of</w:t>
      </w:r>
      <w:r w:rsidRPr="0076497F">
        <w:rPr>
          <w:rStyle w:val="apple-converted-space"/>
          <w:rFonts w:eastAsiaTheme="majorEastAsia"/>
          <w:color w:val="000000"/>
        </w:rPr>
        <w:t> </w:t>
      </w:r>
      <w:r w:rsidRPr="0076497F">
        <w:rPr>
          <w:rStyle w:val="Strong"/>
          <w:rFonts w:eastAsiaTheme="majorEastAsia"/>
          <w:b w:val="0"/>
          <w:bCs w:val="0"/>
          <w:color w:val="000000"/>
        </w:rPr>
        <w:t>≈ –802 deaths per year (p &lt; 6.3e</w:t>
      </w:r>
      <w:r w:rsidRPr="0076497F">
        <w:rPr>
          <w:rStyle w:val="Strong"/>
          <w:rFonts w:eastAsiaTheme="majorEastAsia"/>
          <w:b w:val="0"/>
          <w:bCs w:val="0"/>
          <w:color w:val="000000"/>
        </w:rPr>
        <w:noBreakHyphen/>
        <w:t>10)</w:t>
      </w:r>
      <w:r w:rsidRPr="0076497F">
        <w:rPr>
          <w:rStyle w:val="apple-converted-space"/>
          <w:rFonts w:eastAsiaTheme="majorEastAsia"/>
          <w:color w:val="000000"/>
        </w:rPr>
        <w:t> </w:t>
      </w:r>
      <w:r w:rsidRPr="0076497F">
        <w:rPr>
          <w:color w:val="000000"/>
        </w:rPr>
        <w:t>across 2020–2022. The post</w:t>
      </w:r>
      <w:r w:rsidRPr="0076497F">
        <w:rPr>
          <w:color w:val="000000"/>
        </w:rPr>
        <w:noBreakHyphen/>
        <w:t>COVID stabilization era (2023–2024) showed a further level change of</w:t>
      </w:r>
      <w:r w:rsidRPr="0076497F">
        <w:rPr>
          <w:rStyle w:val="apple-converted-space"/>
          <w:rFonts w:eastAsiaTheme="majorEastAsia"/>
          <w:color w:val="000000"/>
        </w:rPr>
        <w:t> </w:t>
      </w:r>
      <w:r w:rsidRPr="0076497F">
        <w:rPr>
          <w:rStyle w:val="Strong"/>
          <w:rFonts w:eastAsiaTheme="majorEastAsia"/>
          <w:b w:val="0"/>
          <w:bCs w:val="0"/>
          <w:color w:val="000000"/>
        </w:rPr>
        <w:t>≈ 252 deaths (p ≈ 0.004)</w:t>
      </w:r>
      <w:r w:rsidRPr="0076497F">
        <w:rPr>
          <w:color w:val="000000"/>
        </w:rPr>
        <w:t>, with a modest negative slope of</w:t>
      </w:r>
      <w:r w:rsidRPr="0076497F">
        <w:rPr>
          <w:rStyle w:val="apple-converted-space"/>
          <w:rFonts w:eastAsiaTheme="majorEastAsia"/>
          <w:color w:val="000000"/>
        </w:rPr>
        <w:t> </w:t>
      </w:r>
      <w:r w:rsidRPr="0076497F">
        <w:rPr>
          <w:rStyle w:val="Strong"/>
          <w:rFonts w:eastAsiaTheme="majorEastAsia"/>
          <w:b w:val="0"/>
          <w:bCs w:val="0"/>
          <w:color w:val="000000"/>
        </w:rPr>
        <w:t>≈ –79 deaths per year (p ≈ 0.056)</w:t>
      </w:r>
      <w:r w:rsidRPr="0076497F">
        <w:rPr>
          <w:color w:val="000000"/>
        </w:rPr>
        <w:t>, reflecting the sharp reduction to under 200 deaths annually by 2023–2024. Model fit was exceptionally strong, explaining</w:t>
      </w:r>
      <w:r w:rsidRPr="0076497F">
        <w:rPr>
          <w:rStyle w:val="apple-converted-space"/>
          <w:rFonts w:eastAsiaTheme="majorEastAsia"/>
          <w:color w:val="000000"/>
        </w:rPr>
        <w:t> </w:t>
      </w:r>
      <w:r w:rsidRPr="0076497F">
        <w:rPr>
          <w:rStyle w:val="Strong"/>
          <w:rFonts w:eastAsiaTheme="majorEastAsia"/>
          <w:b w:val="0"/>
          <w:bCs w:val="0"/>
          <w:color w:val="000000"/>
        </w:rPr>
        <w:t>99.9% of the variation in COVID deaths (adjusted R² = 0.999)</w:t>
      </w:r>
      <w:r w:rsidRPr="0076497F">
        <w:rPr>
          <w:color w:val="000000"/>
        </w:rPr>
        <w:t>.</w:t>
      </w:r>
    </w:p>
    <w:p w14:paraId="73FBEAC6" w14:textId="77777777" w:rsidR="0076497F" w:rsidRPr="0076497F" w:rsidRDefault="0076497F" w:rsidP="0076497F">
      <w:pPr>
        <w:pStyle w:val="NormalWeb"/>
        <w:rPr>
          <w:color w:val="000000"/>
        </w:rPr>
      </w:pPr>
      <w:r w:rsidRPr="0076497F">
        <w:rPr>
          <w:rStyle w:val="Strong"/>
          <w:rFonts w:eastAsiaTheme="majorEastAsia"/>
          <w:b w:val="0"/>
          <w:bCs w:val="0"/>
          <w:color w:val="000000"/>
        </w:rPr>
        <w:t>Opioid mortality results</w:t>
      </w:r>
      <w:r w:rsidRPr="0076497F">
        <w:rPr>
          <w:rStyle w:val="apple-converted-space"/>
          <w:rFonts w:eastAsiaTheme="majorEastAsia"/>
          <w:color w:val="000000"/>
        </w:rPr>
        <w:t> </w:t>
      </w:r>
      <w:r w:rsidRPr="0076497F">
        <w:rPr>
          <w:color w:val="000000"/>
        </w:rPr>
        <w:t>showed rising overdose deaths across the study period. The regression estimated a baseline of</w:t>
      </w:r>
      <w:r w:rsidRPr="0076497F">
        <w:rPr>
          <w:rStyle w:val="apple-converted-space"/>
          <w:rFonts w:eastAsiaTheme="majorEastAsia"/>
          <w:color w:val="000000"/>
        </w:rPr>
        <w:t> </w:t>
      </w:r>
      <w:r w:rsidRPr="0076497F">
        <w:rPr>
          <w:rStyle w:val="Strong"/>
          <w:rFonts w:eastAsiaTheme="majorEastAsia"/>
          <w:b w:val="0"/>
          <w:bCs w:val="0"/>
          <w:color w:val="000000"/>
        </w:rPr>
        <w:t>≈ 353 deaths (p ≈ 0.00015)</w:t>
      </w:r>
      <w:r w:rsidRPr="0076497F">
        <w:rPr>
          <w:rStyle w:val="apple-converted-space"/>
          <w:rFonts w:eastAsiaTheme="majorEastAsia"/>
          <w:color w:val="000000"/>
        </w:rPr>
        <w:t> </w:t>
      </w:r>
      <w:r w:rsidRPr="0076497F">
        <w:rPr>
          <w:color w:val="000000"/>
        </w:rPr>
        <w:t>with a significant upward pre</w:t>
      </w:r>
      <w:r w:rsidRPr="0076497F">
        <w:rPr>
          <w:color w:val="000000"/>
        </w:rPr>
        <w:noBreakHyphen/>
        <w:t>intervention trend of</w:t>
      </w:r>
      <w:r w:rsidRPr="0076497F">
        <w:rPr>
          <w:rStyle w:val="apple-converted-space"/>
          <w:rFonts w:eastAsiaTheme="majorEastAsia"/>
          <w:color w:val="000000"/>
        </w:rPr>
        <w:t> </w:t>
      </w:r>
      <w:r w:rsidRPr="0076497F">
        <w:rPr>
          <w:rStyle w:val="Strong"/>
          <w:rFonts w:eastAsiaTheme="majorEastAsia"/>
          <w:b w:val="0"/>
          <w:bCs w:val="0"/>
          <w:color w:val="000000"/>
        </w:rPr>
        <w:t>≈ +35 deaths per year (p ≈ 0.00089)</w:t>
      </w:r>
      <w:r w:rsidRPr="0076497F">
        <w:rPr>
          <w:color w:val="000000"/>
        </w:rPr>
        <w:t>. The</w:t>
      </w:r>
      <w:r w:rsidRPr="0076497F">
        <w:rPr>
          <w:rStyle w:val="apple-converted-space"/>
          <w:rFonts w:eastAsiaTheme="majorEastAsia"/>
          <w:color w:val="000000"/>
        </w:rPr>
        <w:t> </w:t>
      </w:r>
      <w:r w:rsidRPr="0076497F">
        <w:rPr>
          <w:rStyle w:val="Strong"/>
          <w:rFonts w:eastAsiaTheme="majorEastAsia"/>
          <w:b w:val="0"/>
          <w:bCs w:val="0"/>
          <w:color w:val="000000"/>
        </w:rPr>
        <w:t>fentanyl surge era (2014–2016)</w:t>
      </w:r>
      <w:r w:rsidRPr="0076497F">
        <w:rPr>
          <w:rStyle w:val="apple-converted-space"/>
          <w:rFonts w:eastAsiaTheme="majorEastAsia"/>
          <w:color w:val="000000"/>
        </w:rPr>
        <w:t> </w:t>
      </w:r>
      <w:r w:rsidRPr="0076497F">
        <w:rPr>
          <w:color w:val="000000"/>
        </w:rPr>
        <w:t>was associated with a small negative level change (</w:t>
      </w:r>
      <w:r w:rsidRPr="0076497F">
        <w:rPr>
          <w:rStyle w:val="Strong"/>
          <w:rFonts w:eastAsiaTheme="majorEastAsia"/>
          <w:b w:val="0"/>
          <w:bCs w:val="0"/>
          <w:color w:val="000000"/>
        </w:rPr>
        <w:t>≈ –59, p ≈ 0.56</w:t>
      </w:r>
      <w:r w:rsidRPr="0076497F">
        <w:rPr>
          <w:color w:val="000000"/>
        </w:rPr>
        <w:t>) and a positive slope (</w:t>
      </w:r>
      <w:r w:rsidRPr="0076497F">
        <w:rPr>
          <w:rStyle w:val="Strong"/>
          <w:rFonts w:eastAsiaTheme="majorEastAsia"/>
          <w:b w:val="0"/>
          <w:bCs w:val="0"/>
          <w:color w:val="000000"/>
        </w:rPr>
        <w:t>≈ +73 per year, p ≈ 0.13</w:t>
      </w:r>
      <w:r w:rsidRPr="0076497F">
        <w:rPr>
          <w:color w:val="000000"/>
        </w:rPr>
        <w:t>), neither statistically significant. The</w:t>
      </w:r>
      <w:r w:rsidRPr="0076497F">
        <w:rPr>
          <w:rStyle w:val="apple-converted-space"/>
          <w:rFonts w:eastAsiaTheme="majorEastAsia"/>
          <w:color w:val="000000"/>
        </w:rPr>
        <w:t> </w:t>
      </w:r>
      <w:r w:rsidRPr="0076497F">
        <w:rPr>
          <w:rStyle w:val="Strong"/>
          <w:rFonts w:eastAsiaTheme="majorEastAsia"/>
          <w:b w:val="0"/>
          <w:bCs w:val="0"/>
          <w:color w:val="000000"/>
        </w:rPr>
        <w:t>harm</w:t>
      </w:r>
      <w:r w:rsidRPr="0076497F">
        <w:rPr>
          <w:rStyle w:val="Strong"/>
          <w:rFonts w:eastAsiaTheme="majorEastAsia"/>
          <w:b w:val="0"/>
          <w:bCs w:val="0"/>
          <w:color w:val="000000"/>
        </w:rPr>
        <w:noBreakHyphen/>
        <w:t>reduction era (2017–2023)</w:t>
      </w:r>
      <w:r w:rsidRPr="0076497F">
        <w:rPr>
          <w:rStyle w:val="apple-converted-space"/>
          <w:rFonts w:eastAsiaTheme="majorEastAsia"/>
          <w:color w:val="000000"/>
        </w:rPr>
        <w:t> </w:t>
      </w:r>
      <w:r w:rsidRPr="0076497F">
        <w:rPr>
          <w:color w:val="000000"/>
        </w:rPr>
        <w:t>showed a large positive level change (</w:t>
      </w:r>
      <w:r w:rsidRPr="0076497F">
        <w:rPr>
          <w:rStyle w:val="Strong"/>
          <w:rFonts w:eastAsiaTheme="majorEastAsia"/>
          <w:b w:val="0"/>
          <w:bCs w:val="0"/>
          <w:color w:val="000000"/>
        </w:rPr>
        <w:t>≈ +379 deaths, p ≈ 0.00041</w:t>
      </w:r>
      <w:r w:rsidRPr="0076497F">
        <w:rPr>
          <w:color w:val="000000"/>
        </w:rPr>
        <w:t>) but no significant slope effect (</w:t>
      </w:r>
      <w:r w:rsidRPr="0076497F">
        <w:rPr>
          <w:rStyle w:val="Strong"/>
          <w:rFonts w:eastAsiaTheme="majorEastAsia"/>
          <w:b w:val="0"/>
          <w:bCs w:val="0"/>
          <w:color w:val="000000"/>
        </w:rPr>
        <w:t>≈ +4 per year, p ≈ 0.75</w:t>
      </w:r>
      <w:r w:rsidRPr="0076497F">
        <w:rPr>
          <w:color w:val="000000"/>
        </w:rPr>
        <w:t>). Model fit was strong, explaining</w:t>
      </w:r>
      <w:r w:rsidRPr="0076497F">
        <w:rPr>
          <w:rStyle w:val="apple-converted-space"/>
          <w:rFonts w:eastAsiaTheme="majorEastAsia"/>
          <w:color w:val="000000"/>
        </w:rPr>
        <w:t> </w:t>
      </w:r>
      <w:r w:rsidRPr="0076497F">
        <w:rPr>
          <w:rStyle w:val="Strong"/>
          <w:rFonts w:eastAsiaTheme="majorEastAsia"/>
          <w:b w:val="0"/>
          <w:bCs w:val="0"/>
          <w:color w:val="000000"/>
        </w:rPr>
        <w:t>97.6% of the variation in overdose deaths (adjusted R² = 0.959)</w:t>
      </w:r>
      <w:r w:rsidRPr="0076497F">
        <w:rPr>
          <w:color w:val="000000"/>
        </w:rPr>
        <w:t>.</w:t>
      </w:r>
    </w:p>
    <w:p w14:paraId="226AB447" w14:textId="77777777" w:rsidR="0076497F" w:rsidRPr="0076497F" w:rsidRDefault="0076497F" w:rsidP="0076497F">
      <w:pPr>
        <w:pStyle w:val="NormalWeb"/>
        <w:rPr>
          <w:color w:val="000000"/>
        </w:rPr>
      </w:pPr>
      <w:r w:rsidRPr="0076497F">
        <w:rPr>
          <w:color w:val="000000"/>
        </w:rPr>
        <w:t>Taken together, these grouped ITS models highlight the dramatic onset and decline of COVID mortality alongside the long</w:t>
      </w:r>
      <w:r w:rsidRPr="0076497F">
        <w:rPr>
          <w:color w:val="000000"/>
        </w:rPr>
        <w:noBreakHyphen/>
        <w:t>term escalation of opioid mortality in Philadelphia. Grouping interventions into broader phases provided stable, interpretable estimates, avoided collinearity, and captured the major shifts in both epidemics. This consistent specification across domains sets the foundation for a combined ITS regression that can evaluate how COVID and opioid interventions interacted over time.</w:t>
      </w:r>
    </w:p>
    <w:p w14:paraId="2C11D79D" w14:textId="77777777" w:rsidR="0076497F" w:rsidRDefault="0076497F" w:rsidP="0076497F">
      <w:pPr>
        <w:pStyle w:val="NormalWeb"/>
      </w:pPr>
    </w:p>
    <w:p w14:paraId="3436F625" w14:textId="77777777" w:rsidR="0076497F" w:rsidRDefault="0076497F" w:rsidP="0076497F">
      <w:pPr>
        <w:pStyle w:val="NormalWeb"/>
      </w:pPr>
    </w:p>
    <w:p w14:paraId="6A9CB78E" w14:textId="77777777" w:rsidR="0076497F" w:rsidRPr="0076497F" w:rsidRDefault="0076497F" w:rsidP="007649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75999B1" w14:textId="7706C974" w:rsidR="0076497F" w:rsidRPr="0076497F" w:rsidRDefault="0076497F" w:rsidP="0076497F">
      <w:pPr>
        <w:pStyle w:val="NormalWeb"/>
        <w:rPr>
          <w:color w:val="000000"/>
        </w:rPr>
      </w:pPr>
      <w:r w:rsidRPr="0076497F">
        <w:rPr>
          <w:rStyle w:val="Strong"/>
          <w:rFonts w:eastAsiaTheme="majorEastAsia"/>
          <w:b w:val="0"/>
          <w:bCs w:val="0"/>
          <w:color w:val="000000"/>
        </w:rPr>
        <w:lastRenderedPageBreak/>
        <w:t>Interrupted Time Series Analysis of COVID and Opioid Interventions</w:t>
      </w:r>
      <w:r>
        <w:rPr>
          <w:rStyle w:val="Strong"/>
          <w:rFonts w:eastAsiaTheme="majorEastAsia"/>
          <w:b w:val="0"/>
          <w:bCs w:val="0"/>
          <w:color w:val="000000"/>
        </w:rPr>
        <w:t xml:space="preserve"> in a Combine Model</w:t>
      </w:r>
      <w:r w:rsidRPr="0076497F">
        <w:rPr>
          <w:rStyle w:val="Strong"/>
          <w:rFonts w:eastAsiaTheme="majorEastAsia"/>
          <w:b w:val="0"/>
          <w:bCs w:val="0"/>
          <w:color w:val="000000"/>
        </w:rPr>
        <w:t>: Comparing Single</w:t>
      </w:r>
      <w:r w:rsidRPr="0076497F">
        <w:rPr>
          <w:rStyle w:val="Strong"/>
          <w:rFonts w:eastAsiaTheme="majorEastAsia"/>
          <w:b w:val="0"/>
          <w:bCs w:val="0"/>
          <w:color w:val="000000"/>
        </w:rPr>
        <w:noBreakHyphen/>
        <w:t>Cause and Combined Models (Grouped Phases)</w:t>
      </w:r>
      <w:r w:rsidRPr="0076497F">
        <w:rPr>
          <w:color w:val="000000"/>
        </w:rPr>
        <w:t xml:space="preserve">: </w:t>
      </w:r>
      <w:r w:rsidRPr="0076497F">
        <w:rPr>
          <w:color w:val="000000"/>
        </w:rPr>
        <w:t>To evaluate the impact of interventions across two overlapping public health crises, I constructed three interrupted time series (ITS) regression models: a COVID</w:t>
      </w:r>
      <w:r w:rsidRPr="0076497F">
        <w:rPr>
          <w:color w:val="000000"/>
        </w:rPr>
        <w:noBreakHyphen/>
        <w:t>only model, an opioid</w:t>
      </w:r>
      <w:r w:rsidRPr="0076497F">
        <w:rPr>
          <w:color w:val="000000"/>
        </w:rPr>
        <w:noBreakHyphen/>
        <w:t>only model, and a combined model that pooled both causes of death with a cause indicator. By grouping interventions into broader phases, the models avoided collinearity and produced more stable estimates.</w:t>
      </w:r>
    </w:p>
    <w:p w14:paraId="6369E64D" w14:textId="77777777" w:rsidR="0076497F" w:rsidRPr="0076497F" w:rsidRDefault="0076497F" w:rsidP="0076497F">
      <w:pPr>
        <w:pStyle w:val="NormalWeb"/>
        <w:rPr>
          <w:color w:val="000000"/>
        </w:rPr>
      </w:pPr>
      <w:r w:rsidRPr="0076497F">
        <w:rPr>
          <w:color w:val="000000"/>
        </w:rPr>
        <w:t>The</w:t>
      </w:r>
      <w:r w:rsidRPr="0076497F">
        <w:rPr>
          <w:rStyle w:val="apple-converted-space"/>
          <w:rFonts w:eastAsiaTheme="majorEastAsia"/>
          <w:color w:val="000000"/>
        </w:rPr>
        <w:t> </w:t>
      </w:r>
      <w:r w:rsidRPr="0076497F">
        <w:rPr>
          <w:rStyle w:val="Strong"/>
          <w:rFonts w:eastAsiaTheme="majorEastAsia"/>
          <w:b w:val="0"/>
          <w:bCs w:val="0"/>
          <w:color w:val="000000"/>
        </w:rPr>
        <w:t>COVID</w:t>
      </w:r>
      <w:r w:rsidRPr="0076497F">
        <w:rPr>
          <w:rStyle w:val="Strong"/>
          <w:rFonts w:eastAsiaTheme="majorEastAsia"/>
          <w:b w:val="0"/>
          <w:bCs w:val="0"/>
          <w:color w:val="000000"/>
        </w:rPr>
        <w:noBreakHyphen/>
        <w:t>only model</w:t>
      </w:r>
      <w:r w:rsidRPr="0076497F">
        <w:rPr>
          <w:rStyle w:val="apple-converted-space"/>
          <w:rFonts w:eastAsiaTheme="majorEastAsia"/>
          <w:color w:val="000000"/>
        </w:rPr>
        <w:t> </w:t>
      </w:r>
      <w:r w:rsidRPr="0076497F">
        <w:rPr>
          <w:color w:val="000000"/>
        </w:rPr>
        <w:t>isolated pandemic phases, showing a dramatic spike at the onset of the disruption era (2020–2022) of approximately</w:t>
      </w:r>
      <w:r w:rsidRPr="0076497F">
        <w:rPr>
          <w:rStyle w:val="apple-converted-space"/>
          <w:rFonts w:eastAsiaTheme="majorEastAsia"/>
          <w:color w:val="000000"/>
        </w:rPr>
        <w:t> </w:t>
      </w:r>
      <w:r w:rsidRPr="0076497F">
        <w:rPr>
          <w:rStyle w:val="Strong"/>
          <w:rFonts w:eastAsiaTheme="majorEastAsia"/>
          <w:b w:val="0"/>
          <w:bCs w:val="0"/>
          <w:color w:val="000000"/>
        </w:rPr>
        <w:t>+3,240 deaths (p &lt; 0.001)</w:t>
      </w:r>
      <w:r w:rsidRPr="0076497F">
        <w:rPr>
          <w:color w:val="000000"/>
        </w:rPr>
        <w:t>, followed by a steep and highly significant downward slope of</w:t>
      </w:r>
      <w:r w:rsidRPr="0076497F">
        <w:rPr>
          <w:rStyle w:val="apple-converted-space"/>
          <w:rFonts w:eastAsiaTheme="majorEastAsia"/>
          <w:color w:val="000000"/>
        </w:rPr>
        <w:t> </w:t>
      </w:r>
      <w:r w:rsidRPr="0076497F">
        <w:rPr>
          <w:rStyle w:val="Strong"/>
          <w:rFonts w:eastAsiaTheme="majorEastAsia"/>
          <w:b w:val="0"/>
          <w:bCs w:val="0"/>
          <w:color w:val="000000"/>
        </w:rPr>
        <w:t>–801 deaths per year (p &lt; 0.001)</w:t>
      </w:r>
      <w:r w:rsidRPr="0076497F">
        <w:rPr>
          <w:color w:val="000000"/>
        </w:rPr>
        <w:t>. The post</w:t>
      </w:r>
      <w:r w:rsidRPr="0076497F">
        <w:rPr>
          <w:color w:val="000000"/>
        </w:rPr>
        <w:noBreakHyphen/>
        <w:t>COVID stabilization era (2023+) was associated with a modest positive level change (</w:t>
      </w:r>
      <w:r w:rsidRPr="0076497F">
        <w:rPr>
          <w:rStyle w:val="Strong"/>
          <w:rFonts w:eastAsiaTheme="majorEastAsia"/>
          <w:b w:val="0"/>
          <w:bCs w:val="0"/>
          <w:color w:val="000000"/>
        </w:rPr>
        <w:t>+252 deaths, p ≈ 0.004</w:t>
      </w:r>
      <w:r w:rsidRPr="0076497F">
        <w:rPr>
          <w:color w:val="000000"/>
        </w:rPr>
        <w:t>) but no significant slope effect (</w:t>
      </w:r>
      <w:r w:rsidRPr="0076497F">
        <w:rPr>
          <w:rStyle w:val="Strong"/>
          <w:rFonts w:eastAsiaTheme="majorEastAsia"/>
          <w:b w:val="0"/>
          <w:bCs w:val="0"/>
          <w:color w:val="000000"/>
        </w:rPr>
        <w:t>–79 deaths per year, p ≈ 0.056</w:t>
      </w:r>
      <w:r w:rsidRPr="0076497F">
        <w:rPr>
          <w:color w:val="000000"/>
        </w:rPr>
        <w:t>).</w:t>
      </w:r>
    </w:p>
    <w:p w14:paraId="70B5115B" w14:textId="77777777" w:rsidR="0076497F" w:rsidRPr="0076497F" w:rsidRDefault="0076497F" w:rsidP="0076497F">
      <w:pPr>
        <w:pStyle w:val="NormalWeb"/>
        <w:rPr>
          <w:color w:val="000000"/>
        </w:rPr>
      </w:pPr>
      <w:r w:rsidRPr="0076497F">
        <w:rPr>
          <w:color w:val="000000"/>
        </w:rPr>
        <w:t>The</w:t>
      </w:r>
      <w:r w:rsidRPr="0076497F">
        <w:rPr>
          <w:rStyle w:val="apple-converted-space"/>
          <w:rFonts w:eastAsiaTheme="majorEastAsia"/>
          <w:color w:val="000000"/>
        </w:rPr>
        <w:t> </w:t>
      </w:r>
      <w:r w:rsidRPr="0076497F">
        <w:rPr>
          <w:rStyle w:val="Strong"/>
          <w:rFonts w:eastAsiaTheme="majorEastAsia"/>
          <w:b w:val="0"/>
          <w:bCs w:val="0"/>
          <w:color w:val="000000"/>
        </w:rPr>
        <w:t>opioid</w:t>
      </w:r>
      <w:r w:rsidRPr="0076497F">
        <w:rPr>
          <w:rStyle w:val="Strong"/>
          <w:rFonts w:eastAsiaTheme="majorEastAsia"/>
          <w:b w:val="0"/>
          <w:bCs w:val="0"/>
          <w:color w:val="000000"/>
        </w:rPr>
        <w:noBreakHyphen/>
        <w:t>only model</w:t>
      </w:r>
      <w:r w:rsidRPr="0076497F">
        <w:rPr>
          <w:rStyle w:val="apple-converted-space"/>
          <w:rFonts w:eastAsiaTheme="majorEastAsia"/>
          <w:color w:val="000000"/>
        </w:rPr>
        <w:t> </w:t>
      </w:r>
      <w:r w:rsidRPr="0076497F">
        <w:rPr>
          <w:color w:val="000000"/>
        </w:rPr>
        <w:t>focused on overdose phases. Baseline deaths were significant (</w:t>
      </w:r>
      <w:r w:rsidRPr="0076497F">
        <w:rPr>
          <w:rStyle w:val="Strong"/>
          <w:rFonts w:eastAsiaTheme="majorEastAsia"/>
          <w:b w:val="0"/>
          <w:bCs w:val="0"/>
          <w:color w:val="000000"/>
        </w:rPr>
        <w:t>≈ 353 deaths, p &lt; 0.001</w:t>
      </w:r>
      <w:r w:rsidRPr="0076497F">
        <w:rPr>
          <w:color w:val="000000"/>
        </w:rPr>
        <w:t>) with a strong upward pre</w:t>
      </w:r>
      <w:r w:rsidRPr="0076497F">
        <w:rPr>
          <w:color w:val="000000"/>
        </w:rPr>
        <w:noBreakHyphen/>
        <w:t>trend (</w:t>
      </w:r>
      <w:r w:rsidRPr="0076497F">
        <w:rPr>
          <w:rStyle w:val="Strong"/>
          <w:rFonts w:eastAsiaTheme="majorEastAsia"/>
          <w:b w:val="0"/>
          <w:bCs w:val="0"/>
          <w:color w:val="000000"/>
        </w:rPr>
        <w:t>+35 deaths per year, p &lt; 0.001</w:t>
      </w:r>
      <w:r w:rsidRPr="0076497F">
        <w:rPr>
          <w:color w:val="000000"/>
        </w:rPr>
        <w:t>). The fentanyl surge era (2014–2016) showed no significant impact (</w:t>
      </w:r>
      <w:r w:rsidRPr="0076497F">
        <w:rPr>
          <w:rStyle w:val="Strong"/>
          <w:rFonts w:eastAsiaTheme="majorEastAsia"/>
          <w:b w:val="0"/>
          <w:bCs w:val="0"/>
          <w:color w:val="000000"/>
        </w:rPr>
        <w:t>–59 deaths, p ≈ 0.56; slope +73 per year, p ≈ 0.13</w:t>
      </w:r>
      <w:r w:rsidRPr="0076497F">
        <w:rPr>
          <w:color w:val="000000"/>
        </w:rPr>
        <w:t>). By contrast, the harm</w:t>
      </w:r>
      <w:r w:rsidRPr="0076497F">
        <w:rPr>
          <w:color w:val="000000"/>
        </w:rPr>
        <w:noBreakHyphen/>
        <w:t>reduction era (2017–2023) was associated with a large and highly significant increase (</w:t>
      </w:r>
      <w:r w:rsidRPr="0076497F">
        <w:rPr>
          <w:rStyle w:val="Strong"/>
          <w:rFonts w:eastAsiaTheme="majorEastAsia"/>
          <w:b w:val="0"/>
          <w:bCs w:val="0"/>
          <w:color w:val="000000"/>
        </w:rPr>
        <w:t>+379 deaths, p &lt; 0.001</w:t>
      </w:r>
      <w:r w:rsidRPr="0076497F">
        <w:rPr>
          <w:color w:val="000000"/>
        </w:rPr>
        <w:t>) but no meaningful slope effect (</w:t>
      </w:r>
      <w:r w:rsidRPr="0076497F">
        <w:rPr>
          <w:rStyle w:val="Strong"/>
          <w:rFonts w:eastAsiaTheme="majorEastAsia"/>
          <w:b w:val="0"/>
          <w:bCs w:val="0"/>
          <w:color w:val="000000"/>
        </w:rPr>
        <w:t>+4 deaths per year, p ≈ 0.75</w:t>
      </w:r>
      <w:r w:rsidRPr="0076497F">
        <w:rPr>
          <w:color w:val="000000"/>
        </w:rPr>
        <w:t>).</w:t>
      </w:r>
    </w:p>
    <w:p w14:paraId="6D67B3C9" w14:textId="77777777" w:rsidR="0076497F" w:rsidRPr="0076497F" w:rsidRDefault="0076497F" w:rsidP="0076497F">
      <w:pPr>
        <w:pStyle w:val="NormalWeb"/>
        <w:rPr>
          <w:color w:val="000000"/>
        </w:rPr>
      </w:pPr>
      <w:r w:rsidRPr="0076497F">
        <w:rPr>
          <w:color w:val="000000"/>
        </w:rPr>
        <w:t>The</w:t>
      </w:r>
      <w:r w:rsidRPr="0076497F">
        <w:rPr>
          <w:rStyle w:val="apple-converted-space"/>
          <w:rFonts w:eastAsiaTheme="majorEastAsia"/>
          <w:color w:val="000000"/>
        </w:rPr>
        <w:t> </w:t>
      </w:r>
      <w:r w:rsidRPr="0076497F">
        <w:rPr>
          <w:rStyle w:val="Strong"/>
          <w:rFonts w:eastAsiaTheme="majorEastAsia"/>
          <w:b w:val="0"/>
          <w:bCs w:val="0"/>
          <w:color w:val="000000"/>
        </w:rPr>
        <w:t>combined model</w:t>
      </w:r>
      <w:r w:rsidRPr="0076497F">
        <w:rPr>
          <w:rStyle w:val="apple-converted-space"/>
          <w:rFonts w:eastAsiaTheme="majorEastAsia"/>
          <w:color w:val="000000"/>
        </w:rPr>
        <w:t> </w:t>
      </w:r>
      <w:r w:rsidRPr="0076497F">
        <w:rPr>
          <w:color w:val="000000"/>
        </w:rPr>
        <w:t>clarified which effects were robust and which were confounded. COVID pandemic disruption remained highly significant (</w:t>
      </w:r>
      <w:r w:rsidRPr="0076497F">
        <w:rPr>
          <w:rStyle w:val="Strong"/>
          <w:rFonts w:eastAsiaTheme="majorEastAsia"/>
          <w:b w:val="0"/>
          <w:bCs w:val="0"/>
          <w:color w:val="000000"/>
        </w:rPr>
        <w:t>+3,153 deaths, p &lt; 0.001; slope –825 per year, p &lt; 0.001</w:t>
      </w:r>
      <w:r w:rsidRPr="0076497F">
        <w:rPr>
          <w:color w:val="000000"/>
        </w:rPr>
        <w:t>), while post</w:t>
      </w:r>
      <w:r w:rsidRPr="0076497F">
        <w:rPr>
          <w:color w:val="000000"/>
        </w:rPr>
        <w:noBreakHyphen/>
        <w:t>COVID stabilization effects lost significance (</w:t>
      </w:r>
      <w:r w:rsidRPr="0076497F">
        <w:rPr>
          <w:rStyle w:val="Strong"/>
          <w:rFonts w:eastAsiaTheme="majorEastAsia"/>
          <w:b w:val="0"/>
          <w:bCs w:val="0"/>
          <w:color w:val="000000"/>
        </w:rPr>
        <w:t>+100 deaths, p ≈ 0.52; slope –102 per year, p ≈ 0.28</w:t>
      </w:r>
      <w:r w:rsidRPr="0076497F">
        <w:rPr>
          <w:color w:val="000000"/>
        </w:rPr>
        <w:t>). This shift indicates that some of the apparent stabilization effect in the COVID</w:t>
      </w:r>
      <w:r w:rsidRPr="0076497F">
        <w:rPr>
          <w:color w:val="000000"/>
        </w:rPr>
        <w:noBreakHyphen/>
        <w:t>only model was partly explained by broader mortality trends, i.e. confounding. For opioids, the fentanyl surge era remained non</w:t>
      </w:r>
      <w:r w:rsidRPr="0076497F">
        <w:rPr>
          <w:color w:val="000000"/>
        </w:rPr>
        <w:noBreakHyphen/>
        <w:t>significant, but its slope effect moved closer to marginal significance (</w:t>
      </w:r>
      <w:r w:rsidRPr="0076497F">
        <w:rPr>
          <w:rStyle w:val="Strong"/>
          <w:rFonts w:eastAsiaTheme="majorEastAsia"/>
          <w:b w:val="0"/>
          <w:bCs w:val="0"/>
          <w:color w:val="000000"/>
        </w:rPr>
        <w:t>+84 deaths per year, p ≈ 0.09</w:t>
      </w:r>
      <w:r w:rsidRPr="0076497F">
        <w:rPr>
          <w:color w:val="000000"/>
        </w:rPr>
        <w:t>). The harm</w:t>
      </w:r>
      <w:r w:rsidRPr="0076497F">
        <w:rPr>
          <w:color w:val="000000"/>
        </w:rPr>
        <w:noBreakHyphen/>
        <w:t>reduction era continued to show a consistent and significant increase (</w:t>
      </w:r>
      <w:r w:rsidRPr="0076497F">
        <w:rPr>
          <w:rStyle w:val="Strong"/>
          <w:rFonts w:eastAsiaTheme="majorEastAsia"/>
          <w:b w:val="0"/>
          <w:bCs w:val="0"/>
          <w:color w:val="000000"/>
        </w:rPr>
        <w:t>+376 deaths, p &lt; 0.001</w:t>
      </w:r>
      <w:r w:rsidRPr="0076497F">
        <w:rPr>
          <w:color w:val="000000"/>
        </w:rPr>
        <w:t>) with no slope effect.</w:t>
      </w:r>
    </w:p>
    <w:p w14:paraId="3E691D3B" w14:textId="77777777" w:rsidR="0076497F" w:rsidRPr="0076497F" w:rsidRDefault="0076497F" w:rsidP="0076497F">
      <w:pPr>
        <w:pStyle w:val="NormalWeb"/>
        <w:rPr>
          <w:color w:val="000000"/>
        </w:rPr>
      </w:pPr>
      <w:r w:rsidRPr="0076497F">
        <w:rPr>
          <w:color w:val="000000"/>
        </w:rPr>
        <w:t>Grouped bar charts with error bars highlighted these coefficient shifts visually, while extended plots with confidence intervals and p</w:t>
      </w:r>
      <w:r w:rsidRPr="0076497F">
        <w:rPr>
          <w:color w:val="000000"/>
        </w:rPr>
        <w:noBreakHyphen/>
        <w:t>value labels added statistical rigor, showing narrow intervals for COVID effects and wide, uncertain intervals for opioid phases. The companion coefficient table reinforced these findings numerically, confirming that COVID interventions were dominant and reliable, while opioid phases produced mixed outcomes. Importantly, the comparison across models demonstrates that</w:t>
      </w:r>
      <w:r w:rsidRPr="0076497F">
        <w:rPr>
          <w:rStyle w:val="apple-converted-space"/>
          <w:rFonts w:eastAsiaTheme="majorEastAsia"/>
          <w:color w:val="000000"/>
        </w:rPr>
        <w:t> </w:t>
      </w:r>
      <w:r w:rsidRPr="0076497F">
        <w:rPr>
          <w:rStyle w:val="Strong"/>
          <w:rFonts w:eastAsiaTheme="majorEastAsia"/>
          <w:b w:val="0"/>
          <w:bCs w:val="0"/>
          <w:color w:val="000000"/>
        </w:rPr>
        <w:t>confounding was present in the single</w:t>
      </w:r>
      <w:r w:rsidRPr="0076497F">
        <w:rPr>
          <w:rStyle w:val="Strong"/>
          <w:rFonts w:eastAsiaTheme="majorEastAsia"/>
          <w:b w:val="0"/>
          <w:bCs w:val="0"/>
          <w:color w:val="000000"/>
        </w:rPr>
        <w:noBreakHyphen/>
        <w:t>cause specifications</w:t>
      </w:r>
      <w:r w:rsidRPr="0076497F">
        <w:rPr>
          <w:color w:val="000000"/>
        </w:rPr>
        <w:t xml:space="preserve">: some effects appeared stronger or significant when modeled in </w:t>
      </w:r>
      <w:proofErr w:type="gramStart"/>
      <w:r w:rsidRPr="0076497F">
        <w:rPr>
          <w:color w:val="000000"/>
        </w:rPr>
        <w:t>isolation, but</w:t>
      </w:r>
      <w:proofErr w:type="gramEnd"/>
      <w:r w:rsidRPr="0076497F">
        <w:rPr>
          <w:color w:val="000000"/>
        </w:rPr>
        <w:t xml:space="preserve"> weakened or disappeared once both crises were included together.</w:t>
      </w:r>
    </w:p>
    <w:p w14:paraId="619339F9" w14:textId="77777777" w:rsidR="0076497F" w:rsidRPr="0076497F" w:rsidRDefault="0076497F" w:rsidP="0076497F">
      <w:pPr>
        <w:pStyle w:val="NormalWeb"/>
        <w:rPr>
          <w:color w:val="000000"/>
        </w:rPr>
      </w:pPr>
      <w:r w:rsidRPr="0076497F">
        <w:rPr>
          <w:color w:val="000000"/>
        </w:rPr>
        <w:t>Taken together, the three models demonstrate the value of triangulation. Single</w:t>
      </w:r>
      <w:r w:rsidRPr="0076497F">
        <w:rPr>
          <w:color w:val="000000"/>
        </w:rPr>
        <w:noBreakHyphen/>
        <w:t>cause models provide clean baselines, the combined model reveals confounding and relative magnitudes, and visualizations make stability versus instability immediately clear. Grouping interventions into phases provided a more reliable specification, underscoring the sharp COVID shock and decline versus the slower, uneven trajectory of opioid mortality.</w:t>
      </w:r>
    </w:p>
    <w:p w14:paraId="54D109C7" w14:textId="03FBF03E" w:rsidR="0076497F" w:rsidRDefault="0076497F" w:rsidP="0076497F">
      <w:pPr>
        <w:pStyle w:val="NormalWeb"/>
        <w:rPr>
          <w:color w:val="000000"/>
        </w:rPr>
      </w:pPr>
      <w:r>
        <w:rPr>
          <w:rStyle w:val="Strong"/>
          <w:rFonts w:eastAsiaTheme="majorEastAsia"/>
          <w:color w:val="000000"/>
        </w:rPr>
        <w:t xml:space="preserve">Interrupted Time Series Analysis: What It Is and Why It Fits </w:t>
      </w:r>
      <w:proofErr w:type="spellStart"/>
      <w:proofErr w:type="gramStart"/>
      <w:r>
        <w:rPr>
          <w:rStyle w:val="Strong"/>
          <w:rFonts w:eastAsiaTheme="majorEastAsia"/>
          <w:color w:val="000000"/>
        </w:rPr>
        <w:t>Here</w:t>
      </w:r>
      <w:r>
        <w:rPr>
          <w:color w:val="000000"/>
        </w:rPr>
        <w:t>:</w:t>
      </w:r>
      <w:r>
        <w:rPr>
          <w:color w:val="000000"/>
        </w:rPr>
        <w:t>Interrupted</w:t>
      </w:r>
      <w:proofErr w:type="spellEnd"/>
      <w:proofErr w:type="gramEnd"/>
      <w:r>
        <w:rPr>
          <w:color w:val="000000"/>
        </w:rPr>
        <w:t xml:space="preserve"> Time Series (ITS) is a quasi</w:t>
      </w:r>
      <w:r>
        <w:rPr>
          <w:color w:val="000000"/>
        </w:rPr>
        <w:noBreakHyphen/>
        <w:t xml:space="preserve">experimental design used to evaluate the impact of interventions or events that </w:t>
      </w:r>
      <w:r>
        <w:rPr>
          <w:color w:val="000000"/>
        </w:rPr>
        <w:lastRenderedPageBreak/>
        <w:t>occur at specific points in time. It models the underlying trend before an intervention, then tests whether there is a significant level change, such as an immediate jump or drop, or a slope change, such as an altered trajectory, after the intervention. ITS regression is the statistical implementation of this design, where dummy variables capture the interruption and interaction terms capture changes in slope. This approach is particularly well</w:t>
      </w:r>
      <w:r>
        <w:rPr>
          <w:color w:val="000000"/>
        </w:rPr>
        <w:noBreakHyphen/>
        <w:t xml:space="preserve">suited for public health and policy analysis, where randomized experiments are not </w:t>
      </w:r>
      <w:proofErr w:type="gramStart"/>
      <w:r>
        <w:rPr>
          <w:color w:val="000000"/>
        </w:rPr>
        <w:t>feasible</w:t>
      </w:r>
      <w:proofErr w:type="gramEnd"/>
      <w:r>
        <w:rPr>
          <w:color w:val="000000"/>
        </w:rPr>
        <w:t xml:space="preserve"> but interventions occur at identifiable moments. In this analysis, ITS is the right choice because we are evaluating population</w:t>
      </w:r>
      <w:r>
        <w:rPr>
          <w:color w:val="000000"/>
        </w:rPr>
        <w:noBreakHyphen/>
        <w:t>level mortality trends in relation to specific, well</w:t>
      </w:r>
      <w:r>
        <w:rPr>
          <w:color w:val="000000"/>
        </w:rPr>
        <w:noBreakHyphen/>
        <w:t>timed events such as the 2014 fentanyl emergence, the 2020 pandemic onset, and subsequent intervention years including vaccination rollout and naloxone milestones. By modeling both immediate and long</w:t>
      </w:r>
      <w:r>
        <w:rPr>
          <w:color w:val="000000"/>
        </w:rPr>
        <w:noBreakHyphen/>
        <w:t>term effects, ITS allows us to distinguish between sharp disruptions, like the onset of the pandemic, and gradual changes, like vaccination campaigns, providing a nuanced understanding of how interventions shaped mortality patterns.</w:t>
      </w:r>
    </w:p>
    <w:p w14:paraId="7270F6C0" w14:textId="77777777" w:rsidR="0076497F" w:rsidRDefault="0076497F" w:rsidP="0076497F">
      <w:pPr>
        <w:pStyle w:val="NormalWeb"/>
        <w:rPr>
          <w:color w:val="000000"/>
        </w:rPr>
      </w:pPr>
      <w:r>
        <w:rPr>
          <w:color w:val="000000"/>
        </w:rPr>
        <w:t>While the ITS regression provides valuable insights, several limitations should be acknowledged. Annual mortality data yields relatively few time points, limiting statistical power and making slope estimates sensitive to individual years. Because interventions occurred in close succession, such as the 2020 onset, 2021 vaccine rollout, and 2022 booster introduction, the dummy and slope terms are highly correlated, which can inflate standard errors, obscure independent effects, and lead to unstable coefficient estimates. Mortality trends may also be influenced by unmeasured confounders, including changes in healthcare access, opioid use patterns, socioeconomic conditions, or other public health initiatives. In addition, using annual totals masks within</w:t>
      </w:r>
      <w:r>
        <w:rPr>
          <w:color w:val="000000"/>
        </w:rPr>
        <w:noBreakHyphen/>
        <w:t>year variation, meaning seasonal spikes, short</w:t>
      </w:r>
      <w:r>
        <w:rPr>
          <w:color w:val="000000"/>
        </w:rPr>
        <w:noBreakHyphen/>
        <w:t xml:space="preserve">term surges, or rapid declines cannot be </w:t>
      </w:r>
      <w:proofErr w:type="gramStart"/>
      <w:r>
        <w:rPr>
          <w:color w:val="000000"/>
        </w:rPr>
        <w:t>detected</w:t>
      </w:r>
      <w:proofErr w:type="gramEnd"/>
      <w:r>
        <w:rPr>
          <w:color w:val="000000"/>
        </w:rPr>
        <w:t xml:space="preserve"> and the ITS model may oversimplify dynamic changes. Finally, ITS regression assumes linear pre</w:t>
      </w:r>
      <w:r>
        <w:rPr>
          <w:color w:val="000000"/>
        </w:rPr>
        <w:noBreakHyphen/>
        <w:t xml:space="preserve"> and post</w:t>
      </w:r>
      <w:r>
        <w:rPr>
          <w:color w:val="000000"/>
        </w:rPr>
        <w:noBreakHyphen/>
        <w:t>intervention trajectories, but real</w:t>
      </w:r>
      <w:r>
        <w:rPr>
          <w:color w:val="000000"/>
        </w:rPr>
        <w:noBreakHyphen/>
        <w:t>world mortality patterns may follow nonlinear paths, which could limit the accuracy of slope estimates. Taken together, these limitations suggest that while ITS is a powerful tool for detecting major disruptions, results should be interpreted cautiously. The findings highlight strong evidence of a COVID</w:t>
      </w:r>
      <w:r>
        <w:rPr>
          <w:color w:val="000000"/>
        </w:rPr>
        <w:noBreakHyphen/>
        <w:t>related mortality spike, but smaller vaccine effects may be harder to isolate given the constraints of the data and model.</w:t>
      </w:r>
    </w:p>
    <w:p w14:paraId="487A5E94" w14:textId="77777777" w:rsidR="0076497F" w:rsidRDefault="0076497F" w:rsidP="0076497F">
      <w:pPr>
        <w:pStyle w:val="NormalWeb"/>
        <w:rPr>
          <w:color w:val="000000"/>
        </w:rPr>
      </w:pPr>
    </w:p>
    <w:p w14:paraId="2711047D" w14:textId="63F498C1" w:rsidR="0076497F" w:rsidRPr="0076497F" w:rsidRDefault="0076497F" w:rsidP="0076497F">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sidRPr="0076497F">
        <w:rPr>
          <w:rFonts w:ascii="Times New Roman" w:eastAsia="Times New Roman" w:hAnsi="Times New Roman" w:cs="Times New Roman"/>
          <w:b/>
          <w:bCs/>
          <w:color w:val="000000"/>
          <w:kern w:val="0"/>
          <w14:ligatures w14:val="none"/>
        </w:rPr>
        <w:t>Overall Summary of ITS Analyses with Hypothesis Integration</w:t>
      </w:r>
      <w:r>
        <w:rPr>
          <w:rFonts w:ascii="Times New Roman" w:eastAsia="Times New Roman" w:hAnsi="Times New Roman" w:cs="Times New Roman"/>
          <w:b/>
          <w:bCs/>
          <w:color w:val="000000"/>
          <w:kern w:val="0"/>
          <w14:ligatures w14:val="none"/>
        </w:rPr>
        <w:t xml:space="preserve">: </w:t>
      </w:r>
      <w:r w:rsidRPr="0076497F">
        <w:rPr>
          <w:rFonts w:ascii="Times New Roman" w:eastAsia="Times New Roman" w:hAnsi="Times New Roman" w:cs="Times New Roman"/>
          <w:color w:val="000000"/>
          <w:kern w:val="0"/>
          <w14:ligatures w14:val="none"/>
        </w:rPr>
        <w:t>The Interrupted Time Series (ITS) analysis demonstrates that </w:t>
      </w:r>
      <w:r w:rsidRPr="0076497F">
        <w:rPr>
          <w:rFonts w:ascii="Times New Roman" w:eastAsia="Times New Roman" w:hAnsi="Times New Roman" w:cs="Times New Roman"/>
          <w:b/>
          <w:bCs/>
          <w:color w:val="000000"/>
          <w:kern w:val="0"/>
          <w14:ligatures w14:val="none"/>
        </w:rPr>
        <w:t>COVID onset in 2020 was the dominant driver of mortality spikes in Philadelphia</w:t>
      </w:r>
      <w:r w:rsidRPr="0076497F">
        <w:rPr>
          <w:rFonts w:ascii="Times New Roman" w:eastAsia="Times New Roman" w:hAnsi="Times New Roman" w:cs="Times New Roman"/>
          <w:color w:val="000000"/>
          <w:kern w:val="0"/>
          <w14:ligatures w14:val="none"/>
        </w:rPr>
        <w:t>, producing a sharp and highly significant increase in deaths (+3,240, p &lt; 0.001) followed by a steep decline during the disruption era (–801 per year, p &lt; 0.001). By 2023, the post</w:t>
      </w:r>
      <w:r w:rsidRPr="0076497F">
        <w:rPr>
          <w:rFonts w:ascii="Times New Roman" w:eastAsia="Times New Roman" w:hAnsi="Times New Roman" w:cs="Times New Roman"/>
          <w:color w:val="000000"/>
          <w:kern w:val="0"/>
          <w14:ligatures w14:val="none"/>
        </w:rPr>
        <w:noBreakHyphen/>
        <w:t>COVID stabilization phase showed only modest and statistically weaker changes (+252 deaths, p ≈ 0.004 in the single</w:t>
      </w:r>
      <w:r w:rsidRPr="0076497F">
        <w:rPr>
          <w:rFonts w:ascii="Times New Roman" w:eastAsia="Times New Roman" w:hAnsi="Times New Roman" w:cs="Times New Roman"/>
          <w:color w:val="000000"/>
          <w:kern w:val="0"/>
          <w14:ligatures w14:val="none"/>
        </w:rPr>
        <w:noBreakHyphen/>
        <w:t>cause model, but non</w:t>
      </w:r>
      <w:r w:rsidRPr="0076497F">
        <w:rPr>
          <w:rFonts w:ascii="Times New Roman" w:eastAsia="Times New Roman" w:hAnsi="Times New Roman" w:cs="Times New Roman"/>
          <w:color w:val="000000"/>
          <w:kern w:val="0"/>
          <w14:ligatures w14:val="none"/>
        </w:rPr>
        <w:noBreakHyphen/>
        <w:t>significant in the combined model), underscoring that the pandemic shock and subsequent decline were the primary COVID</w:t>
      </w:r>
      <w:r w:rsidRPr="0076497F">
        <w:rPr>
          <w:rFonts w:ascii="Times New Roman" w:eastAsia="Times New Roman" w:hAnsi="Times New Roman" w:cs="Times New Roman"/>
          <w:color w:val="000000"/>
          <w:kern w:val="0"/>
          <w14:ligatures w14:val="none"/>
        </w:rPr>
        <w:noBreakHyphen/>
        <w:t>related effects.</w:t>
      </w:r>
    </w:p>
    <w:p w14:paraId="52E608B9" w14:textId="77777777" w:rsidR="0076497F" w:rsidRPr="0076497F" w:rsidRDefault="0076497F" w:rsidP="0076497F">
      <w:pPr>
        <w:spacing w:before="100" w:beforeAutospacing="1" w:after="100" w:afterAutospacing="1" w:line="240" w:lineRule="auto"/>
        <w:rPr>
          <w:rFonts w:ascii="Times New Roman" w:eastAsia="Times New Roman" w:hAnsi="Times New Roman" w:cs="Times New Roman"/>
          <w:color w:val="000000"/>
          <w:kern w:val="0"/>
          <w14:ligatures w14:val="none"/>
        </w:rPr>
      </w:pPr>
      <w:r w:rsidRPr="0076497F">
        <w:rPr>
          <w:rFonts w:ascii="Times New Roman" w:eastAsia="Times New Roman" w:hAnsi="Times New Roman" w:cs="Times New Roman"/>
          <w:color w:val="000000"/>
          <w:kern w:val="0"/>
          <w14:ligatures w14:val="none"/>
        </w:rPr>
        <w:t>Opioid phases revealed a </w:t>
      </w:r>
      <w:r w:rsidRPr="0076497F">
        <w:rPr>
          <w:rFonts w:ascii="Times New Roman" w:eastAsia="Times New Roman" w:hAnsi="Times New Roman" w:cs="Times New Roman"/>
          <w:b/>
          <w:bCs/>
          <w:color w:val="000000"/>
          <w:kern w:val="0"/>
          <w14:ligatures w14:val="none"/>
        </w:rPr>
        <w:t>slower, uneven trajectory</w:t>
      </w:r>
      <w:r w:rsidRPr="0076497F">
        <w:rPr>
          <w:rFonts w:ascii="Times New Roman" w:eastAsia="Times New Roman" w:hAnsi="Times New Roman" w:cs="Times New Roman"/>
          <w:color w:val="000000"/>
          <w:kern w:val="0"/>
          <w14:ligatures w14:val="none"/>
        </w:rPr>
        <w:t>. The 2014–2016 fentanyl surge era produced no significant level change, though its slope effect approached marginal significance in the combined model (+84 per year, p ≈ 0.09). By contrast, the 2017–2023 harm</w:t>
      </w:r>
      <w:r w:rsidRPr="0076497F">
        <w:rPr>
          <w:rFonts w:ascii="Times New Roman" w:eastAsia="Times New Roman" w:hAnsi="Times New Roman" w:cs="Times New Roman"/>
          <w:color w:val="000000"/>
          <w:kern w:val="0"/>
          <w14:ligatures w14:val="none"/>
        </w:rPr>
        <w:noBreakHyphen/>
        <w:t>reduction era was associated with a large and highly significant increase in deaths (+379 in the opioid</w:t>
      </w:r>
      <w:r w:rsidRPr="0076497F">
        <w:rPr>
          <w:rFonts w:ascii="Times New Roman" w:eastAsia="Times New Roman" w:hAnsi="Times New Roman" w:cs="Times New Roman"/>
          <w:color w:val="000000"/>
          <w:kern w:val="0"/>
          <w14:ligatures w14:val="none"/>
        </w:rPr>
        <w:noBreakHyphen/>
        <w:t xml:space="preserve">only </w:t>
      </w:r>
      <w:r w:rsidRPr="0076497F">
        <w:rPr>
          <w:rFonts w:ascii="Times New Roman" w:eastAsia="Times New Roman" w:hAnsi="Times New Roman" w:cs="Times New Roman"/>
          <w:color w:val="000000"/>
          <w:kern w:val="0"/>
          <w14:ligatures w14:val="none"/>
        </w:rPr>
        <w:lastRenderedPageBreak/>
        <w:t>model; +376 in the combined model, both p &lt; 0.001) but no meaningful slope effect. This highlights that despite expanded interventions such as Narcan distribution, vending machines, and OTC access, overdose mortality continued to rise sharply during this period.</w:t>
      </w:r>
    </w:p>
    <w:p w14:paraId="5DE98ED3" w14:textId="77777777" w:rsidR="0076497F" w:rsidRPr="0076497F" w:rsidRDefault="0076497F" w:rsidP="0076497F">
      <w:pPr>
        <w:spacing w:before="100" w:beforeAutospacing="1" w:after="100" w:afterAutospacing="1" w:line="240" w:lineRule="auto"/>
        <w:rPr>
          <w:rFonts w:ascii="Times New Roman" w:eastAsia="Times New Roman" w:hAnsi="Times New Roman" w:cs="Times New Roman"/>
          <w:color w:val="000000"/>
          <w:kern w:val="0"/>
          <w14:ligatures w14:val="none"/>
        </w:rPr>
      </w:pPr>
      <w:r w:rsidRPr="0076497F">
        <w:rPr>
          <w:rFonts w:ascii="Times New Roman" w:eastAsia="Times New Roman" w:hAnsi="Times New Roman" w:cs="Times New Roman"/>
          <w:color w:val="000000"/>
          <w:kern w:val="0"/>
          <w14:ligatures w14:val="none"/>
        </w:rPr>
        <w:t>The </w:t>
      </w:r>
      <w:r w:rsidRPr="0076497F">
        <w:rPr>
          <w:rFonts w:ascii="Times New Roman" w:eastAsia="Times New Roman" w:hAnsi="Times New Roman" w:cs="Times New Roman"/>
          <w:b/>
          <w:bCs/>
          <w:color w:val="000000"/>
          <w:kern w:val="0"/>
          <w14:ligatures w14:val="none"/>
        </w:rPr>
        <w:t>combined model clarified confounding</w:t>
      </w:r>
      <w:r w:rsidRPr="0076497F">
        <w:rPr>
          <w:rFonts w:ascii="Times New Roman" w:eastAsia="Times New Roman" w:hAnsi="Times New Roman" w:cs="Times New Roman"/>
          <w:color w:val="000000"/>
          <w:kern w:val="0"/>
          <w14:ligatures w14:val="none"/>
        </w:rPr>
        <w:t> between crises. Effects that appeared significant in single</w:t>
      </w:r>
      <w:r w:rsidRPr="0076497F">
        <w:rPr>
          <w:rFonts w:ascii="Times New Roman" w:eastAsia="Times New Roman" w:hAnsi="Times New Roman" w:cs="Times New Roman"/>
          <w:color w:val="000000"/>
          <w:kern w:val="0"/>
          <w14:ligatures w14:val="none"/>
        </w:rPr>
        <w:noBreakHyphen/>
        <w:t>cause models (such as the COVID post</w:t>
      </w:r>
      <w:r w:rsidRPr="0076497F">
        <w:rPr>
          <w:rFonts w:ascii="Times New Roman" w:eastAsia="Times New Roman" w:hAnsi="Times New Roman" w:cs="Times New Roman"/>
          <w:color w:val="000000"/>
          <w:kern w:val="0"/>
          <w14:ligatures w14:val="none"/>
        </w:rPr>
        <w:noBreakHyphen/>
        <w:t>stabilization level change) weakened or disappeared once both causes were modeled together. Similarly, opioid slope effects shifted toward marginal significance when COVID mortality was included, revealing that overlapping crises can distort single</w:t>
      </w:r>
      <w:r w:rsidRPr="0076497F">
        <w:rPr>
          <w:rFonts w:ascii="Times New Roman" w:eastAsia="Times New Roman" w:hAnsi="Times New Roman" w:cs="Times New Roman"/>
          <w:color w:val="000000"/>
          <w:kern w:val="0"/>
          <w14:ligatures w14:val="none"/>
        </w:rPr>
        <w:noBreakHyphen/>
        <w:t>cause estimates. Grouped bar charts and coefficient tables reinforced these findings, showing narrow confidence intervals for COVID effects and wide, uncertain intervals for opioid phases.</w:t>
      </w:r>
    </w:p>
    <w:p w14:paraId="64192AE3" w14:textId="77777777" w:rsidR="0076497F" w:rsidRPr="0076497F" w:rsidRDefault="0076497F" w:rsidP="0076497F">
      <w:pPr>
        <w:spacing w:before="100" w:beforeAutospacing="1" w:after="100" w:afterAutospacing="1" w:line="240" w:lineRule="auto"/>
        <w:rPr>
          <w:rFonts w:ascii="Times New Roman" w:eastAsia="Times New Roman" w:hAnsi="Times New Roman" w:cs="Times New Roman"/>
          <w:color w:val="000000"/>
          <w:kern w:val="0"/>
          <w14:ligatures w14:val="none"/>
        </w:rPr>
      </w:pPr>
      <w:r w:rsidRPr="0076497F">
        <w:rPr>
          <w:rFonts w:ascii="Times New Roman" w:eastAsia="Times New Roman" w:hAnsi="Times New Roman" w:cs="Times New Roman"/>
          <w:color w:val="000000"/>
          <w:kern w:val="0"/>
          <w14:ligatures w14:val="none"/>
        </w:rPr>
        <w:t>Importantly, the decision to </w:t>
      </w:r>
      <w:r w:rsidRPr="0076497F">
        <w:rPr>
          <w:rFonts w:ascii="Times New Roman" w:eastAsia="Times New Roman" w:hAnsi="Times New Roman" w:cs="Times New Roman"/>
          <w:b/>
          <w:bCs/>
          <w:color w:val="000000"/>
          <w:kern w:val="0"/>
          <w14:ligatures w14:val="none"/>
        </w:rPr>
        <w:t>use grouped phases rather than individual interventions</w:t>
      </w:r>
      <w:r w:rsidRPr="0076497F">
        <w:rPr>
          <w:rFonts w:ascii="Times New Roman" w:eastAsia="Times New Roman" w:hAnsi="Times New Roman" w:cs="Times New Roman"/>
          <w:color w:val="000000"/>
          <w:kern w:val="0"/>
          <w14:ligatures w14:val="none"/>
        </w:rPr>
        <w:t> was driven by both statistical and substantive considerations. Modeling each intervention separately introduced collinearity and unstable estimates, obscuring broader mortality trends. By grouping interventions into coherent phases — COVID disruption (2020–2022) vs. post</w:t>
      </w:r>
      <w:r w:rsidRPr="0076497F">
        <w:rPr>
          <w:rFonts w:ascii="Times New Roman" w:eastAsia="Times New Roman" w:hAnsi="Times New Roman" w:cs="Times New Roman"/>
          <w:color w:val="000000"/>
          <w:kern w:val="0"/>
          <w14:ligatures w14:val="none"/>
        </w:rPr>
        <w:noBreakHyphen/>
        <w:t>COVID stabilization (2023+), and opioid fentanyl surge (2014–2016) vs. harm</w:t>
      </w:r>
      <w:r w:rsidRPr="0076497F">
        <w:rPr>
          <w:rFonts w:ascii="Times New Roman" w:eastAsia="Times New Roman" w:hAnsi="Times New Roman" w:cs="Times New Roman"/>
          <w:color w:val="000000"/>
          <w:kern w:val="0"/>
          <w14:ligatures w14:val="none"/>
        </w:rPr>
        <w:noBreakHyphen/>
        <w:t>reduction era (2017–2023) — the models produced more stable coefficients, clarified the timing of shifts, and allowed meaningful comparisons across crises. This specification better reflects how interventions clustered in practice and how mortality responded to broader eras rather than isolated events.</w:t>
      </w:r>
    </w:p>
    <w:p w14:paraId="348F386F" w14:textId="77777777" w:rsidR="0076497F" w:rsidRPr="0076497F" w:rsidRDefault="0076497F" w:rsidP="0076497F">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76497F">
        <w:rPr>
          <w:rFonts w:ascii="Times New Roman" w:eastAsia="Times New Roman" w:hAnsi="Times New Roman" w:cs="Times New Roman"/>
          <w:b/>
          <w:bCs/>
          <w:color w:val="000000"/>
          <w:kern w:val="0"/>
          <w14:ligatures w14:val="none"/>
        </w:rPr>
        <w:t>Hypotheses Addressed</w:t>
      </w:r>
    </w:p>
    <w:p w14:paraId="7574B85D" w14:textId="77777777" w:rsidR="0076497F" w:rsidRPr="0076497F" w:rsidRDefault="0076497F" w:rsidP="0076497F">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76497F">
        <w:rPr>
          <w:rFonts w:ascii="Times New Roman" w:eastAsia="Times New Roman" w:hAnsi="Times New Roman" w:cs="Times New Roman"/>
          <w:b/>
          <w:bCs/>
          <w:color w:val="000000"/>
          <w:kern w:val="0"/>
          <w14:ligatures w14:val="none"/>
        </w:rPr>
        <w:t>H1: Crises produce sharp disruptions in mortality trends.</w:t>
      </w:r>
      <w:r w:rsidRPr="0076497F">
        <w:rPr>
          <w:rFonts w:ascii="Times New Roman" w:eastAsia="Times New Roman" w:hAnsi="Times New Roman" w:cs="Times New Roman"/>
          <w:color w:val="000000"/>
          <w:kern w:val="0"/>
          <w14:ligatures w14:val="none"/>
        </w:rPr>
        <w:t> </w:t>
      </w:r>
      <w:r w:rsidRPr="0076497F">
        <w:rPr>
          <w:rFonts w:ascii="Apple Color Emoji" w:eastAsia="Times New Roman" w:hAnsi="Apple Color Emoji" w:cs="Apple Color Emoji"/>
          <w:color w:val="000000"/>
          <w:kern w:val="0"/>
          <w14:ligatures w14:val="none"/>
        </w:rPr>
        <w:t>✔</w:t>
      </w:r>
      <w:r w:rsidRPr="0076497F">
        <w:rPr>
          <w:rFonts w:ascii="Times New Roman" w:eastAsia="Times New Roman" w:hAnsi="Times New Roman" w:cs="Times New Roman"/>
          <w:color w:val="000000"/>
          <w:kern w:val="0"/>
          <w14:ligatures w14:val="none"/>
        </w:rPr>
        <w:t xml:space="preserve"> Confirmed — COVID onset produced the sharpest and most reliable shock; opioids rose persistently but unevenly.</w:t>
      </w:r>
    </w:p>
    <w:p w14:paraId="19D1B0EA" w14:textId="77777777" w:rsidR="0076497F" w:rsidRPr="0076497F" w:rsidRDefault="0076497F" w:rsidP="0076497F">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76497F">
        <w:rPr>
          <w:rFonts w:ascii="Times New Roman" w:eastAsia="Times New Roman" w:hAnsi="Times New Roman" w:cs="Times New Roman"/>
          <w:b/>
          <w:bCs/>
          <w:color w:val="000000"/>
          <w:kern w:val="0"/>
          <w14:ligatures w14:val="none"/>
        </w:rPr>
        <w:t>H2: Interventions reduce mortality.</w:t>
      </w:r>
      <w:r w:rsidRPr="0076497F">
        <w:rPr>
          <w:rFonts w:ascii="Times New Roman" w:eastAsia="Times New Roman" w:hAnsi="Times New Roman" w:cs="Times New Roman"/>
          <w:color w:val="000000"/>
          <w:kern w:val="0"/>
          <w14:ligatures w14:val="none"/>
        </w:rPr>
        <w:t> </w:t>
      </w:r>
      <w:r w:rsidRPr="0076497F">
        <w:rPr>
          <w:rFonts w:ascii="Apple Color Emoji" w:eastAsia="Times New Roman" w:hAnsi="Apple Color Emoji" w:cs="Apple Color Emoji"/>
          <w:color w:val="000000"/>
          <w:kern w:val="0"/>
          <w14:ligatures w14:val="none"/>
        </w:rPr>
        <w:t>✔</w:t>
      </w:r>
      <w:r w:rsidRPr="0076497F">
        <w:rPr>
          <w:rFonts w:ascii="Times New Roman" w:eastAsia="Times New Roman" w:hAnsi="Times New Roman" w:cs="Times New Roman"/>
          <w:color w:val="000000"/>
          <w:kern w:val="0"/>
          <w14:ligatures w14:val="none"/>
        </w:rPr>
        <w:t xml:space="preserve"> Partially confirmed — COVID vaccines and boosters produced consistent declines; opioid harm</w:t>
      </w:r>
      <w:r w:rsidRPr="0076497F">
        <w:rPr>
          <w:rFonts w:ascii="Times New Roman" w:eastAsia="Times New Roman" w:hAnsi="Times New Roman" w:cs="Times New Roman"/>
          <w:color w:val="000000"/>
          <w:kern w:val="0"/>
          <w14:ligatures w14:val="none"/>
        </w:rPr>
        <w:noBreakHyphen/>
        <w:t>reduction measures coincided with increases, showing limited effectiveness.</w:t>
      </w:r>
    </w:p>
    <w:p w14:paraId="1C7CAE7E" w14:textId="77777777" w:rsidR="0076497F" w:rsidRPr="0076497F" w:rsidRDefault="0076497F" w:rsidP="0076497F">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76497F">
        <w:rPr>
          <w:rFonts w:ascii="Times New Roman" w:eastAsia="Times New Roman" w:hAnsi="Times New Roman" w:cs="Times New Roman"/>
          <w:b/>
          <w:bCs/>
          <w:color w:val="000000"/>
          <w:kern w:val="0"/>
          <w14:ligatures w14:val="none"/>
        </w:rPr>
        <w:t>H3: Grouping interventions into phases improves stability.</w:t>
      </w:r>
      <w:r w:rsidRPr="0076497F">
        <w:rPr>
          <w:rFonts w:ascii="Times New Roman" w:eastAsia="Times New Roman" w:hAnsi="Times New Roman" w:cs="Times New Roman"/>
          <w:color w:val="000000"/>
          <w:kern w:val="0"/>
          <w14:ligatures w14:val="none"/>
        </w:rPr>
        <w:t> </w:t>
      </w:r>
      <w:r w:rsidRPr="0076497F">
        <w:rPr>
          <w:rFonts w:ascii="Apple Color Emoji" w:eastAsia="Times New Roman" w:hAnsi="Apple Color Emoji" w:cs="Apple Color Emoji"/>
          <w:color w:val="000000"/>
          <w:kern w:val="0"/>
          <w14:ligatures w14:val="none"/>
        </w:rPr>
        <w:t>✔</w:t>
      </w:r>
      <w:r w:rsidRPr="0076497F">
        <w:rPr>
          <w:rFonts w:ascii="Times New Roman" w:eastAsia="Times New Roman" w:hAnsi="Times New Roman" w:cs="Times New Roman"/>
          <w:color w:val="000000"/>
          <w:kern w:val="0"/>
          <w14:ligatures w14:val="none"/>
        </w:rPr>
        <w:t xml:space="preserve"> Confirmed — grouped models reduced collinearity, stabilized coefficients, and explained 97–99% of variation.</w:t>
      </w:r>
    </w:p>
    <w:p w14:paraId="763ED510" w14:textId="77777777" w:rsidR="0076497F" w:rsidRDefault="0076497F" w:rsidP="0076497F">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76497F">
        <w:rPr>
          <w:rFonts w:ascii="Times New Roman" w:eastAsia="Times New Roman" w:hAnsi="Times New Roman" w:cs="Times New Roman"/>
          <w:b/>
          <w:bCs/>
          <w:color w:val="000000"/>
          <w:kern w:val="0"/>
          <w14:ligatures w14:val="none"/>
        </w:rPr>
        <w:t>H4: Combined modeling reveals confounding.</w:t>
      </w:r>
      <w:r w:rsidRPr="0076497F">
        <w:rPr>
          <w:rFonts w:ascii="Times New Roman" w:eastAsia="Times New Roman" w:hAnsi="Times New Roman" w:cs="Times New Roman"/>
          <w:color w:val="000000"/>
          <w:kern w:val="0"/>
          <w14:ligatures w14:val="none"/>
        </w:rPr>
        <w:t> </w:t>
      </w:r>
      <w:r w:rsidRPr="0076497F">
        <w:rPr>
          <w:rFonts w:ascii="Apple Color Emoji" w:eastAsia="Times New Roman" w:hAnsi="Apple Color Emoji" w:cs="Apple Color Emoji"/>
          <w:color w:val="000000"/>
          <w:kern w:val="0"/>
          <w14:ligatures w14:val="none"/>
        </w:rPr>
        <w:t>✔</w:t>
      </w:r>
      <w:r w:rsidRPr="0076497F">
        <w:rPr>
          <w:rFonts w:ascii="Times New Roman" w:eastAsia="Times New Roman" w:hAnsi="Times New Roman" w:cs="Times New Roman"/>
          <w:color w:val="000000"/>
          <w:kern w:val="0"/>
          <w14:ligatures w14:val="none"/>
        </w:rPr>
        <w:t xml:space="preserve"> Confirmed — effects that appeared significant in single</w:t>
      </w:r>
      <w:r w:rsidRPr="0076497F">
        <w:rPr>
          <w:rFonts w:ascii="Times New Roman" w:eastAsia="Times New Roman" w:hAnsi="Times New Roman" w:cs="Times New Roman"/>
          <w:color w:val="000000"/>
          <w:kern w:val="0"/>
          <w14:ligatures w14:val="none"/>
        </w:rPr>
        <w:noBreakHyphen/>
        <w:t>cause models weakened or disappeared once both crises were modeled together.</w:t>
      </w:r>
    </w:p>
    <w:p w14:paraId="3B6F8C1F" w14:textId="289E0764" w:rsidR="0076497F" w:rsidRPr="0076497F" w:rsidRDefault="0076497F" w:rsidP="0076497F">
      <w:pPr>
        <w:pStyle w:val="ListParagraph"/>
        <w:spacing w:before="100" w:beforeAutospacing="1" w:after="100" w:afterAutospacing="1" w:line="240" w:lineRule="auto"/>
        <w:rPr>
          <w:rFonts w:ascii="Times New Roman" w:eastAsia="Times New Roman" w:hAnsi="Times New Roman" w:cs="Times New Roman"/>
          <w:kern w:val="0"/>
          <w:sz w:val="36"/>
          <w:szCs w:val="36"/>
          <w14:ligatures w14:val="none"/>
        </w:rPr>
      </w:pPr>
      <w:r w:rsidRPr="0076497F">
        <w:rPr>
          <w:rFonts w:ascii="Times New Roman" w:eastAsia="Times New Roman" w:hAnsi="Times New Roman" w:cs="Times New Roman"/>
          <w:kern w:val="0"/>
          <w:sz w:val="36"/>
          <w:szCs w:val="36"/>
          <w14:ligatures w14:val="none"/>
        </w:rPr>
        <w:t>Hypothesis Testing and Evaluation of Finding</w:t>
      </w:r>
      <w:r w:rsidRPr="0076497F">
        <w:rPr>
          <w:rFonts w:ascii="Times New Roman" w:eastAsia="Times New Roman" w:hAnsi="Times New Roman" w:cs="Times New Roman"/>
          <w:kern w:val="0"/>
          <w:sz w:val="36"/>
          <w:szCs w:val="36"/>
          <w14:ligatures w14:val="none"/>
        </w:rPr>
        <w:t>s</w:t>
      </w:r>
    </w:p>
    <w:p w14:paraId="3A6EE60D" w14:textId="77777777" w:rsidR="0076497F" w:rsidRPr="0076497F" w:rsidRDefault="0076497F" w:rsidP="0076497F">
      <w:pPr>
        <w:spacing w:before="100" w:beforeAutospacing="1" w:after="100" w:afterAutospacing="1" w:line="240" w:lineRule="auto"/>
        <w:rPr>
          <w:rFonts w:ascii="Times New Roman" w:eastAsia="Times New Roman" w:hAnsi="Times New Roman" w:cs="Times New Roman"/>
          <w:color w:val="000000"/>
          <w:kern w:val="0"/>
          <w14:ligatures w14:val="none"/>
        </w:rPr>
      </w:pPr>
    </w:p>
    <w:p w14:paraId="08E341B2" w14:textId="77777777" w:rsidR="0076497F" w:rsidRDefault="0076497F" w:rsidP="0076497F">
      <w:pPr>
        <w:pStyle w:val="NormalWeb"/>
        <w:rPr>
          <w:color w:val="000000"/>
        </w:rPr>
      </w:pPr>
    </w:p>
    <w:p w14:paraId="02300E1D" w14:textId="77777777" w:rsidR="0076497F" w:rsidRDefault="0076497F"/>
    <w:sectPr w:rsidR="007649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006E54"/>
    <w:multiLevelType w:val="multilevel"/>
    <w:tmpl w:val="D8C0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4857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97F"/>
    <w:rsid w:val="002452F8"/>
    <w:rsid w:val="0076497F"/>
    <w:rsid w:val="007965B7"/>
    <w:rsid w:val="00AB60B3"/>
    <w:rsid w:val="00BB0F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79D1F0"/>
  <w15:chartTrackingRefBased/>
  <w15:docId w15:val="{2621952D-143C-BD48-A4FB-824A21443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49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49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649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49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49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49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9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9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9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9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49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649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49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49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49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9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9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97F"/>
    <w:rPr>
      <w:rFonts w:eastAsiaTheme="majorEastAsia" w:cstheme="majorBidi"/>
      <w:color w:val="272727" w:themeColor="text1" w:themeTint="D8"/>
    </w:rPr>
  </w:style>
  <w:style w:type="paragraph" w:styleId="Title">
    <w:name w:val="Title"/>
    <w:basedOn w:val="Normal"/>
    <w:next w:val="Normal"/>
    <w:link w:val="TitleChar"/>
    <w:uiPriority w:val="10"/>
    <w:qFormat/>
    <w:rsid w:val="007649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9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9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9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97F"/>
    <w:pPr>
      <w:spacing w:before="160"/>
      <w:jc w:val="center"/>
    </w:pPr>
    <w:rPr>
      <w:i/>
      <w:iCs/>
      <w:color w:val="404040" w:themeColor="text1" w:themeTint="BF"/>
    </w:rPr>
  </w:style>
  <w:style w:type="character" w:customStyle="1" w:styleId="QuoteChar">
    <w:name w:val="Quote Char"/>
    <w:basedOn w:val="DefaultParagraphFont"/>
    <w:link w:val="Quote"/>
    <w:uiPriority w:val="29"/>
    <w:rsid w:val="0076497F"/>
    <w:rPr>
      <w:i/>
      <w:iCs/>
      <w:color w:val="404040" w:themeColor="text1" w:themeTint="BF"/>
    </w:rPr>
  </w:style>
  <w:style w:type="paragraph" w:styleId="ListParagraph">
    <w:name w:val="List Paragraph"/>
    <w:basedOn w:val="Normal"/>
    <w:uiPriority w:val="34"/>
    <w:qFormat/>
    <w:rsid w:val="0076497F"/>
    <w:pPr>
      <w:ind w:left="720"/>
      <w:contextualSpacing/>
    </w:pPr>
  </w:style>
  <w:style w:type="character" w:styleId="IntenseEmphasis">
    <w:name w:val="Intense Emphasis"/>
    <w:basedOn w:val="DefaultParagraphFont"/>
    <w:uiPriority w:val="21"/>
    <w:qFormat/>
    <w:rsid w:val="0076497F"/>
    <w:rPr>
      <w:i/>
      <w:iCs/>
      <w:color w:val="0F4761" w:themeColor="accent1" w:themeShade="BF"/>
    </w:rPr>
  </w:style>
  <w:style w:type="paragraph" w:styleId="IntenseQuote">
    <w:name w:val="Intense Quote"/>
    <w:basedOn w:val="Normal"/>
    <w:next w:val="Normal"/>
    <w:link w:val="IntenseQuoteChar"/>
    <w:uiPriority w:val="30"/>
    <w:qFormat/>
    <w:rsid w:val="007649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497F"/>
    <w:rPr>
      <w:i/>
      <w:iCs/>
      <w:color w:val="0F4761" w:themeColor="accent1" w:themeShade="BF"/>
    </w:rPr>
  </w:style>
  <w:style w:type="character" w:styleId="IntenseReference">
    <w:name w:val="Intense Reference"/>
    <w:basedOn w:val="DefaultParagraphFont"/>
    <w:uiPriority w:val="32"/>
    <w:qFormat/>
    <w:rsid w:val="0076497F"/>
    <w:rPr>
      <w:b/>
      <w:bCs/>
      <w:smallCaps/>
      <w:color w:val="0F4761" w:themeColor="accent1" w:themeShade="BF"/>
      <w:spacing w:val="5"/>
    </w:rPr>
  </w:style>
  <w:style w:type="paragraph" w:styleId="NormalWeb">
    <w:name w:val="Normal (Web)"/>
    <w:basedOn w:val="Normal"/>
    <w:uiPriority w:val="99"/>
    <w:semiHidden/>
    <w:unhideWhenUsed/>
    <w:rsid w:val="0076497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6497F"/>
    <w:rPr>
      <w:b/>
      <w:bCs/>
    </w:rPr>
  </w:style>
  <w:style w:type="character" w:customStyle="1" w:styleId="apple-converted-space">
    <w:name w:val="apple-converted-space"/>
    <w:basedOn w:val="DefaultParagraphFont"/>
    <w:rsid w:val="007649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2706</Words>
  <Characters>15425</Characters>
  <Application>Microsoft Office Word</Application>
  <DocSecurity>0</DocSecurity>
  <Lines>128</Lines>
  <Paragraphs>36</Paragraphs>
  <ScaleCrop>false</ScaleCrop>
  <Company/>
  <LinksUpToDate>false</LinksUpToDate>
  <CharactersWithSpaces>18095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McGarvey, Michael - Neurology</dc:creator>
  <cp:keywords/>
  <dc:description/>
  <cp:lastModifiedBy>McGarvey, Michael - Neurology</cp:lastModifiedBy>
  <cp:revision>1</cp:revision>
  <dcterms:created xsi:type="dcterms:W3CDTF">2025-12-06T18:09:00Z</dcterms:created>
  <dcterms:modified xsi:type="dcterms:W3CDTF">2025-12-07T22:31:00Z</dcterms:modified>
</cp:coreProperties>
</file>