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72"/>
        </w:rPr>
        <w:t>Computer Vision</w:t>
      </w:r>
    </w:p>
    <w:p>
      <w:pPr>
        <w:jc w:val="center"/>
      </w:pPr>
      <w:r>
        <w:rPr>
          <w:i/>
          <w:color w:val="4A4A4A"/>
          <w:sz w:val="40"/>
        </w:rPr>
        <w:t>From Foundations to Frontier</w:t>
      </w:r>
    </w:p>
    <w:p>
      <w:pPr>
        <w:jc w:val="center"/>
      </w:pPr>
      <w:r>
        <w:rPr>
          <w:color w:val="4A4A4A"/>
          <w:sz w:val="28"/>
        </w:rPr>
        <w:t>A 20-Chapter Modern Book — Outline &amp; Writing Plan</w:t>
      </w:r>
    </w:p>
    <w:p/>
    <w:p>
      <w:pPr>
        <w:jc w:val="center"/>
      </w:pPr>
      <w:r>
        <w:rPr>
          <w:b/>
          <w:sz w:val="22"/>
        </w:rPr>
        <w:br/>
        <w:t>Author: Milan Amrut Joshi</w:t>
      </w:r>
      <w:r>
        <w:rPr>
          <w:sz w:val="22"/>
        </w:rPr>
        <w:br/>
        <w:t>Target length: ~60,000 words / ~280 pages / ~3,000 words per chapter</w:t>
      </w:r>
      <w:r>
        <w:rPr>
          <w:sz w:val="22"/>
        </w:rPr>
        <w:br/>
        <w:t>Companion: GitHub repo with one runnable Colab notebook + production case study per chapter</w:t>
      </w:r>
      <w:r>
        <w:rPr>
          <w:sz w:val="22"/>
        </w:rPr>
        <w:br/>
        <w:t>Stack defaults: Python 3.12, PyTorch 2.x, Hugging Face, Ultralytics, OpenCV, ONNX/TensorRT</w:t>
      </w:r>
      <w:r>
        <w:rPr>
          <w:sz w:val="22"/>
        </w:rPr>
        <w:br/>
        <w:t>Positioning: Practitioner-first. Theory deep enough to debug. Every chapter ends in working code.</w:t>
      </w:r>
    </w:p>
    <w:p>
      <w:r>
        <w:br w:type="page"/>
      </w:r>
    </w:p>
    <w:p>
      <w:pPr>
        <w:pStyle w:val="Heading1"/>
      </w:pPr>
      <w:r>
        <w:rPr>
          <w:color w:val="1F3A68"/>
        </w:rPr>
        <w:t>Why this book, why now</w:t>
      </w:r>
    </w:p>
    <w:p>
      <w:r>
        <w:t>By 2026 the CV landscape has structurally shifted three ways most existing books miss:</w:t>
      </w:r>
    </w:p>
    <w:p>
      <w:pPr>
        <w:pStyle w:val="ListNumber"/>
      </w:pPr>
      <w:r>
        <w:t>Frozen foundation backbones (DINOv3, SAM 3) replace task-specific training for most use cases.</w:t>
      </w:r>
    </w:p>
    <w:p>
      <w:pPr>
        <w:pStyle w:val="ListNumber"/>
      </w:pPr>
      <w:r>
        <w:t>Vision-Language-Action models (RT-2, OpenVLA, π0, Helix) collapse perception + reasoning + control into one architecture.</w:t>
      </w:r>
    </w:p>
    <w:p>
      <w:pPr>
        <w:pStyle w:val="ListNumber"/>
      </w:pPr>
      <w:r>
        <w:t>Visual agents (Claude Computer Use, GPT-4o vision agents) make vision the input layer of autonomous workflows.</w:t>
      </w:r>
    </w:p>
    <w:p>
      <w:r>
        <w:t>This book covers the full arc — classical → CNN → ViT → foundation models → multimodal → embodied — with code that runs on a 2026 laptop and ships to production.</w:t>
      </w:r>
    </w:p>
    <w:p>
      <w:r>
        <w:br w:type="page"/>
      </w:r>
    </w:p>
    <w:p>
      <w:pPr>
        <w:pStyle w:val="Heading1"/>
      </w:pPr>
      <w:r>
        <w:rPr>
          <w:color w:val="1F3A68"/>
        </w:rPr>
        <w:t>Table of Contents</w:t>
      </w:r>
    </w:p>
    <w:p>
      <w:r>
        <w:rPr>
          <w:b/>
          <w:color w:val="1F3A68"/>
          <w:sz w:val="26"/>
        </w:rPr>
        <w:t>Part I — Foundations</w:t>
      </w:r>
    </w:p>
    <w:p>
      <w:pPr>
        <w:ind w:left="397"/>
      </w:pPr>
      <w:r>
        <w:rPr>
          <w:sz w:val="22"/>
        </w:rPr>
        <w:t>Chapter 1  ·  The 2026 Computer Vision Landscape</w:t>
      </w:r>
    </w:p>
    <w:p>
      <w:pPr>
        <w:ind w:left="397"/>
      </w:pPr>
      <w:r>
        <w:rPr>
          <w:sz w:val="22"/>
        </w:rPr>
        <w:t>Chapter 2  ·  Image Fundamentals and Pixel-Level Operations</w:t>
      </w:r>
    </w:p>
    <w:p>
      <w:pPr>
        <w:ind w:left="397"/>
      </w:pPr>
      <w:r>
        <w:rPr>
          <w:sz w:val="22"/>
        </w:rPr>
        <w:t>Chapter 3  ·  Classical Feature Engineering: SIFT, ORB, and Geometry</w:t>
      </w:r>
    </w:p>
    <w:p>
      <w:pPr>
        <w:ind w:left="397"/>
      </w:pPr>
      <w:r>
        <w:rPr>
          <w:sz w:val="22"/>
        </w:rPr>
        <w:t>Chapter 4  ·  Camera Geometry, Calibration, and Stereo Vision</w:t>
      </w:r>
    </w:p>
    <w:p>
      <w:r>
        <w:rPr>
          <w:b/>
          <w:color w:val="1F3A68"/>
          <w:sz w:val="26"/>
        </w:rPr>
        <w:t>Part II — Deep Learning for Vision</w:t>
      </w:r>
    </w:p>
    <w:p>
      <w:pPr>
        <w:ind w:left="397"/>
      </w:pPr>
      <w:r>
        <w:rPr>
          <w:sz w:val="22"/>
        </w:rPr>
        <w:t>Chapter 5  ·  Convolutional Neural Networks: From LeNet to ConvNeXt</w:t>
      </w:r>
    </w:p>
    <w:p>
      <w:pPr>
        <w:ind w:left="397"/>
      </w:pPr>
      <w:r>
        <w:rPr>
          <w:sz w:val="22"/>
        </w:rPr>
        <w:t>Chapter 6  ·  Training Modern Vision Models in Practice</w:t>
      </w:r>
    </w:p>
    <w:p>
      <w:pPr>
        <w:ind w:left="397"/>
      </w:pPr>
      <w:r>
        <w:rPr>
          <w:sz w:val="22"/>
        </w:rPr>
        <w:t>Chapter 7  ·  Object Detection: From R-CNN to YOLO26 and DETR</w:t>
      </w:r>
    </w:p>
    <w:p>
      <w:pPr>
        <w:ind w:left="397"/>
      </w:pPr>
      <w:r>
        <w:rPr>
          <w:sz w:val="22"/>
        </w:rPr>
        <w:t>Chapter 8  ·  Image Segmentation: U-Net to SAM 3 and Grounding DINO</w:t>
      </w:r>
    </w:p>
    <w:p>
      <w:r>
        <w:rPr>
          <w:b/>
          <w:color w:val="1F3A68"/>
          <w:sz w:val="26"/>
        </w:rPr>
        <w:t>Part III — Modern Architectures and Foundation Models</w:t>
      </w:r>
    </w:p>
    <w:p>
      <w:pPr>
        <w:ind w:left="397"/>
      </w:pPr>
      <w:r>
        <w:rPr>
          <w:sz w:val="22"/>
        </w:rPr>
        <w:t>Chapter 9  ·  Vision Transformers and Hybrid Architectures</w:t>
      </w:r>
    </w:p>
    <w:p>
      <w:pPr>
        <w:ind w:left="397"/>
      </w:pPr>
      <w:r>
        <w:rPr>
          <w:sz w:val="22"/>
        </w:rPr>
        <w:t>Chapter 10  ·  Self-Supervised Vision: From SimCLR to DINOv3</w:t>
      </w:r>
    </w:p>
    <w:p>
      <w:pPr>
        <w:ind w:left="397"/>
      </w:pPr>
      <w:r>
        <w:rPr>
          <w:sz w:val="22"/>
        </w:rPr>
        <w:t>Chapter 11  ·  CLIP and Vision-Language Pretraining</w:t>
      </w:r>
    </w:p>
    <w:p>
      <w:pPr>
        <w:ind w:left="397"/>
      </w:pPr>
      <w:r>
        <w:rPr>
          <w:sz w:val="22"/>
        </w:rPr>
        <w:t>Chapter 12  ·  Generative Vision: GANs, VAEs, and the Diffusion Era</w:t>
      </w:r>
    </w:p>
    <w:p>
      <w:r>
        <w:rPr>
          <w:b/>
          <w:color w:val="1F3A68"/>
          <w:sz w:val="26"/>
        </w:rPr>
        <w:t>Part IV — Multimodal, Video, and 3D</w:t>
      </w:r>
    </w:p>
    <w:p>
      <w:pPr>
        <w:ind w:left="397"/>
      </w:pPr>
      <w:r>
        <w:rPr>
          <w:sz w:val="22"/>
        </w:rPr>
        <w:t>Chapter 13  ·  Vision-Language Models: The Multimodal Stack</w:t>
      </w:r>
    </w:p>
    <w:p>
      <w:pPr>
        <w:ind w:left="397"/>
      </w:pPr>
      <w:r>
        <w:rPr>
          <w:sz w:val="22"/>
        </w:rPr>
        <w:t>Chapter 14  ·  Document AI and Visual Agents</w:t>
      </w:r>
    </w:p>
    <w:p>
      <w:pPr>
        <w:ind w:left="397"/>
      </w:pPr>
      <w:r>
        <w:rPr>
          <w:sz w:val="22"/>
        </w:rPr>
        <w:t>Chapter 15  ·  Video Understanding: Action, Tracking, and VideoMAE</w:t>
      </w:r>
    </w:p>
    <w:p>
      <w:pPr>
        <w:ind w:left="397"/>
      </w:pPr>
      <w:r>
        <w:rPr>
          <w:sz w:val="22"/>
        </w:rPr>
        <w:t>Chapter 16  ·  3D Vision: Depth, NeRF, and Gaussian Splatting</w:t>
      </w:r>
    </w:p>
    <w:p>
      <w:r>
        <w:rPr>
          <w:b/>
          <w:color w:val="1F3A68"/>
          <w:sz w:val="26"/>
        </w:rPr>
        <w:t>Part V — Frontiers and Production</w:t>
      </w:r>
    </w:p>
    <w:p>
      <w:pPr>
        <w:ind w:left="397"/>
      </w:pPr>
      <w:r>
        <w:rPr>
          <w:sz w:val="22"/>
        </w:rPr>
        <w:t>Chapter 17  ·  Vision-Language-Action Models for Robotics and Embodied AI</w:t>
      </w:r>
    </w:p>
    <w:p>
      <w:pPr>
        <w:ind w:left="397"/>
      </w:pPr>
      <w:r>
        <w:rPr>
          <w:sz w:val="22"/>
        </w:rPr>
        <w:t>Chapter 18  ·  Domain-Specific Vision: Medical, Autonomous, Geospatial, Agricultural</w:t>
      </w:r>
    </w:p>
    <w:p>
      <w:pPr>
        <w:ind w:left="397"/>
      </w:pPr>
      <w:r>
        <w:rPr>
          <w:sz w:val="22"/>
        </w:rPr>
        <w:t>Chapter 19  ·  Optimization and Edge Deployment</w:t>
      </w:r>
    </w:p>
    <w:p>
      <w:pPr>
        <w:ind w:left="397"/>
      </w:pPr>
      <w:r>
        <w:rPr>
          <w:sz w:val="22"/>
        </w:rPr>
        <w:t>Chapter 20  ·  MLOps, Responsible AI, and the Future of Computer Vision</w:t>
      </w:r>
    </w:p>
    <w:p>
      <w:r>
        <w:br w:type="page"/>
      </w:r>
    </w:p>
    <w:p>
      <w:r>
        <w:br w:type="page"/>
      </w:r>
    </w:p>
    <w:p>
      <w:pPr>
        <w:pStyle w:val="Heading1"/>
        <w:jc w:val="center"/>
        <w:pBdr>
          <w:bottom w:val="single" w:sz="8" w:space="1" w:color="4A4A4A"/>
        </w:pBdr>
      </w:pPr>
      <w:r>
        <w:rPr>
          <w:color w:val="1F3A68"/>
        </w:rPr>
        <w:t>Part I — Foundations</w:t>
      </w:r>
    </w:p>
    <w:p>
      <w:r>
        <w:rPr>
          <w:b/>
          <w:color w:val="1F3A68"/>
          <w:sz w:val="26"/>
        </w:rPr>
        <w:t>Chapter 1</w:t>
      </w:r>
    </w:p>
    <w:p>
      <w:r>
        <w:rPr>
          <w:b/>
          <w:color w:val="333333"/>
          <w:sz w:val="28"/>
        </w:rPr>
        <w:t>The 2026 Computer Vision Landscape</w:t>
      </w:r>
    </w:p>
    <w:p>
      <w:pPr>
        <w:spacing w:after="280"/>
      </w:pPr>
      <w:r>
        <w:t>A grounded tour of where CV is in 2026: from the OpenCV era to foundation models. Maps the pipeline (acquisition → preprocessing → modeling → deployment), introduces the four eras (classical, CNN, ViT, foundation/multimodal), and frames the rest of the book. Reader leaves with a mental model of when to reach for SIFT vs YOLO vs SAM 3 vs a VLM, and sets up the running case-study dataset used through the book.</w:t>
      </w:r>
    </w:p>
    <w:p>
      <w:r>
        <w:rPr>
          <w:b/>
          <w:color w:val="1F3A68"/>
          <w:sz w:val="26"/>
        </w:rPr>
        <w:t>Chapter 2</w:t>
      </w:r>
    </w:p>
    <w:p>
      <w:r>
        <w:rPr>
          <w:b/>
          <w:color w:val="333333"/>
          <w:sz w:val="28"/>
        </w:rPr>
        <w:t>Image Fundamentals and Pixel-Level Operations</w:t>
      </w:r>
    </w:p>
    <w:p>
      <w:pPr>
        <w:spacing w:after="280"/>
      </w:pPr>
      <w:r>
        <w:t>Pixels, color spaces (RGB/HSV/LAB/YCbCr), sampling, quantization, histograms, and convolution from first principles. Covers filtering, blurring, sharpening, denoising (Gaussian, bilateral, non-local means), edge detection (Sobel, Canny, Laplacian), thresholding (Otsu, adaptive), and morphology. Hands-on: build a document-cleanup preprocessor in pure OpenCV that survives uneven lighting.</w:t>
      </w:r>
    </w:p>
    <w:p>
      <w:r>
        <w:rPr>
          <w:b/>
          <w:color w:val="1F3A68"/>
          <w:sz w:val="26"/>
        </w:rPr>
        <w:t>Chapter 3</w:t>
      </w:r>
    </w:p>
    <w:p>
      <w:r>
        <w:rPr>
          <w:b/>
          <w:color w:val="333333"/>
          <w:sz w:val="28"/>
        </w:rPr>
        <w:t>Classical Feature Engineering: SIFT, ORB, and Geometry</w:t>
      </w:r>
    </w:p>
    <w:p>
      <w:pPr>
        <w:spacing w:after="280"/>
      </w:pPr>
      <w:r>
        <w:t>Why classical features still matter in 2026 (SLAM, panorama, low-data domains). Covers Harris/FAST corners, SIFT/SURF/ORB/BRIEF descriptors, FLANN matching, RANSAC homography, Hough transforms, contour analysis, and template matching. Hands-on: stitch a multi-image panorama and build a logo-detector with feature matching — no neural networks.</w:t>
      </w:r>
    </w:p>
    <w:p>
      <w:r>
        <w:rPr>
          <w:b/>
          <w:color w:val="1F3A68"/>
          <w:sz w:val="26"/>
        </w:rPr>
        <w:t>Chapter 4</w:t>
      </w:r>
    </w:p>
    <w:p>
      <w:r>
        <w:rPr>
          <w:b/>
          <w:color w:val="333333"/>
          <w:sz w:val="28"/>
        </w:rPr>
        <w:t>Camera Geometry, Calibration, and Stereo Vision</w:t>
      </w:r>
    </w:p>
    <w:p>
      <w:pPr>
        <w:spacing w:after="280"/>
      </w:pPr>
      <w:r>
        <w:t>Pinhole and fisheye camera models, intrinsics/extrinsics, lens distortion, calibration with checkerboards, epipolar geometry, stereo rectification, disparity maps, and the math of triangulation. Bridges classical CV to modern depth estimation. Hands-on: calibrate a webcam and reconstruct a scene's depth map from a stereo pair using OpenCV's StereoSGBM.</w:t>
      </w:r>
    </w:p>
    <w:p>
      <w:r>
        <w:br w:type="page"/>
      </w:r>
    </w:p>
    <w:p>
      <w:pPr>
        <w:pStyle w:val="Heading1"/>
        <w:jc w:val="center"/>
        <w:pBdr>
          <w:bottom w:val="single" w:sz="8" w:space="1" w:color="4A4A4A"/>
        </w:pBdr>
      </w:pPr>
      <w:r>
        <w:rPr>
          <w:color w:val="1F3A68"/>
        </w:rPr>
        <w:t>Part II — Deep Learning for Vision</w:t>
      </w:r>
    </w:p>
    <w:p>
      <w:r>
        <w:rPr>
          <w:b/>
          <w:color w:val="1F3A68"/>
          <w:sz w:val="26"/>
        </w:rPr>
        <w:t>Chapter 5</w:t>
      </w:r>
    </w:p>
    <w:p>
      <w:r>
        <w:rPr>
          <w:b/>
          <w:color w:val="333333"/>
          <w:sz w:val="28"/>
        </w:rPr>
        <w:t>Convolutional Neural Networks: From LeNet to ConvNeXt</w:t>
      </w:r>
    </w:p>
    <w:p>
      <w:pPr>
        <w:spacing w:after="280"/>
      </w:pPr>
      <w:r>
        <w:t>The CNN family tree as a single story: LeNet → AlexNet → VGG → Inception → ResNet → DenseNet → EfficientNet → MobileNet → ConvNeXt. Builds intuition for why each design choice (skip connections, bottleneck blocks, depthwise separables, modern normalizations) was a real fix to a real problem. Hands-on: implement a ResNet-18 from scratch in PyTorch and reproduce a CIFAR-10 result.</w:t>
      </w:r>
    </w:p>
    <w:p>
      <w:r>
        <w:rPr>
          <w:b/>
          <w:color w:val="1F3A68"/>
          <w:sz w:val="26"/>
        </w:rPr>
        <w:t>Chapter 6</w:t>
      </w:r>
    </w:p>
    <w:p>
      <w:r>
        <w:rPr>
          <w:b/>
          <w:color w:val="333333"/>
          <w:sz w:val="28"/>
        </w:rPr>
        <w:t>Training Modern Vision Models in Practice</w:t>
      </w:r>
    </w:p>
    <w:p>
      <w:pPr>
        <w:spacing w:after="280"/>
      </w:pPr>
      <w:r>
        <w:t>The unglamorous-but-decisive chapter: data loaders, Albumentations augmentation pipelines, mixup/cutmix, label smoothing, optimizers (SGD vs AdamW vs Lion), schedulers (cosine, one-cycle), mixed precision, gradient checkpointing, multi-GPU with PyTorch Lightning, and experiment tracking with Weights &amp; Biases. Hands-on: fine-tune a timm model on a custom dataset and beat a published baseline through training tricks alone.</w:t>
      </w:r>
    </w:p>
    <w:p>
      <w:r>
        <w:rPr>
          <w:b/>
          <w:color w:val="1F3A68"/>
          <w:sz w:val="26"/>
        </w:rPr>
        <w:t>Chapter 7</w:t>
      </w:r>
    </w:p>
    <w:p>
      <w:r>
        <w:rPr>
          <w:b/>
          <w:color w:val="333333"/>
          <w:sz w:val="28"/>
        </w:rPr>
        <w:t>Object Detection: From R-CNN to YOLO26 and DETR</w:t>
      </w:r>
    </w:p>
    <w:p>
      <w:pPr>
        <w:spacing w:after="280"/>
      </w:pPr>
      <w:r>
        <w:t>Two-stage (R-CNN, Fast/Faster R-CNN) vs single-stage (SSD, RetinaNet, focal loss) vs anchor-free (FCOS, CenterNet) vs transformer-based (DETR, DINO-DETR, RT-DETR) vs the YOLO family through YOLOv8/YOLO11/YOLOv12/YOLO26 (NMS-free, end-to-end, edge-friendly). Covers mAP/IoU/PR-curve evaluation honestly. Hands-on: train YOLO26 on a custom Roboflow dataset and benchmark it against RT-DETR on the same task.</w:t>
      </w:r>
    </w:p>
    <w:p>
      <w:r>
        <w:rPr>
          <w:b/>
          <w:color w:val="1F3A68"/>
          <w:sz w:val="26"/>
        </w:rPr>
        <w:t>Chapter 8</w:t>
      </w:r>
    </w:p>
    <w:p>
      <w:r>
        <w:rPr>
          <w:b/>
          <w:color w:val="333333"/>
          <w:sz w:val="28"/>
        </w:rPr>
        <w:t>Image Segmentation: U-Net to SAM 3 and Grounding DINO</w:t>
      </w:r>
    </w:p>
    <w:p>
      <w:pPr>
        <w:spacing w:after="280"/>
      </w:pPr>
      <w:r>
        <w:t>Semantic vs instance vs panoptic segmentation. Walks through FCN, U-Net, DeepLab (atrous + ASPP), Mask R-CNN, Mask2Former, then jumps to the foundation-model era: SAM 1/2/3 (clicks, boxes, masks, and concepts via text in SAM 3), Grounding DINO + SAM for open-vocabulary segmentation. Hands-on: build a zero-shot 'segment anything I describe' pipeline with SAM 3 + Grounding DINO and deploy it as a Gradio app.</w:t>
      </w:r>
    </w:p>
    <w:p>
      <w:r>
        <w:br w:type="page"/>
      </w:r>
    </w:p>
    <w:p>
      <w:pPr>
        <w:pStyle w:val="Heading1"/>
        <w:jc w:val="center"/>
        <w:pBdr>
          <w:bottom w:val="single" w:sz="8" w:space="1" w:color="4A4A4A"/>
        </w:pBdr>
      </w:pPr>
      <w:r>
        <w:rPr>
          <w:color w:val="1F3A68"/>
        </w:rPr>
        <w:t>Part III — Modern Architectures and Foundation Models</w:t>
      </w:r>
    </w:p>
    <w:p>
      <w:r>
        <w:rPr>
          <w:b/>
          <w:color w:val="1F3A68"/>
          <w:sz w:val="26"/>
        </w:rPr>
        <w:t>Chapter 9</w:t>
      </w:r>
    </w:p>
    <w:p>
      <w:r>
        <w:rPr>
          <w:b/>
          <w:color w:val="333333"/>
          <w:sz w:val="28"/>
        </w:rPr>
        <w:t>Vision Transformers and Hybrid Architectures</w:t>
      </w:r>
    </w:p>
    <w:p>
      <w:pPr>
        <w:spacing w:after="280"/>
      </w:pPr>
      <w:r>
        <w:t>Attention from scratch, then ViT (patches, positional encoding, [CLS] token), DeiT (data-efficient training), Swin (hierarchical + shifted windows), MaxViT, and the new Mamba/SSM-based vision models (VMamba, Vision-Mamba). Discusses when transformers beat CNNs (data-rich, large-context) and when they lose (small-data, latency-sensitive). Hands-on: train a ViT-Small on ImageNette and compare its attention maps to a ResNet-50's class activation maps.</w:t>
      </w:r>
    </w:p>
    <w:p>
      <w:r>
        <w:rPr>
          <w:b/>
          <w:color w:val="1F3A68"/>
          <w:sz w:val="26"/>
        </w:rPr>
        <w:t>Chapter 10</w:t>
      </w:r>
    </w:p>
    <w:p>
      <w:r>
        <w:rPr>
          <w:b/>
          <w:color w:val="333333"/>
          <w:sz w:val="28"/>
        </w:rPr>
        <w:t>Self-Supervised Vision: From SimCLR to DINOv3</w:t>
      </w:r>
    </w:p>
    <w:p>
      <w:pPr>
        <w:spacing w:after="280"/>
      </w:pPr>
      <w:r>
        <w:t>Why labels became the bottleneck and how self-supervision broke it. Covers contrastive (SimCLR, MoCo, BYOL), masked image modeling (MAE, SimMIM), and the DINO line (DINO → DINOv2 → DINOv3, the 2025 model where a single frozen backbone outperforms specialists on dense prediction). Hands-on: extract DINOv3 features and use them as a frozen backbone for a downstream segmentation task with a 90% data reduction vs supervised baseline.</w:t>
      </w:r>
    </w:p>
    <w:p>
      <w:r>
        <w:rPr>
          <w:b/>
          <w:color w:val="1F3A68"/>
          <w:sz w:val="26"/>
        </w:rPr>
        <w:t>Chapter 11</w:t>
      </w:r>
    </w:p>
    <w:p>
      <w:r>
        <w:rPr>
          <w:b/>
          <w:color w:val="333333"/>
          <w:sz w:val="28"/>
        </w:rPr>
        <w:t>CLIP and Vision-Language Pretraining</w:t>
      </w:r>
    </w:p>
    <w:p>
      <w:pPr>
        <w:spacing w:after="280"/>
      </w:pPr>
      <w:r>
        <w:t>Contrastive language-image pretraining as a paradigm shift. Walks through CLIP, OpenCLIP, SigLIP, EVA-CLIP, and the open-vocabulary tasks they unlock: zero-shot classification, image-text retrieval, semantic search, and grounded detection. Covers prompt engineering for vision (templates, ensembles) and FAISS for billion-scale retrieval. Hands-on: build a 'search your photo library by natural language' app with CLIP + FAISS that runs on a laptop.</w:t>
      </w:r>
    </w:p>
    <w:p>
      <w:r>
        <w:rPr>
          <w:b/>
          <w:color w:val="1F3A68"/>
          <w:sz w:val="26"/>
        </w:rPr>
        <w:t>Chapter 12</w:t>
      </w:r>
    </w:p>
    <w:p>
      <w:r>
        <w:rPr>
          <w:b/>
          <w:color w:val="333333"/>
          <w:sz w:val="28"/>
        </w:rPr>
        <w:t>Generative Vision: GANs, VAEs, and the Diffusion Era</w:t>
      </w:r>
    </w:p>
    <w:p>
      <w:pPr>
        <w:spacing w:after="280"/>
      </w:pPr>
      <w:r>
        <w:t>GAN dynamics (mode collapse, Wasserstein loss), the VAE latent space, then the diffusion takeover: DDPM, score-based models, classifier-free guidance, latent diffusion, Stable Diffusion 3.5, Flux, SDXL, ControlNet, IP-Adapter, and LoRA fine-tuning. Practical recipes for inpainting, super-resolution, and style transfer that ship to production. Hands-on: fine-tune SDXL with LoRA on a personal dataset and chain it with ControlNet for conditioned generation.</w:t>
      </w:r>
    </w:p>
    <w:p>
      <w:r>
        <w:br w:type="page"/>
      </w:r>
    </w:p>
    <w:p>
      <w:pPr>
        <w:pStyle w:val="Heading1"/>
        <w:jc w:val="center"/>
        <w:pBdr>
          <w:bottom w:val="single" w:sz="8" w:space="1" w:color="4A4A4A"/>
        </w:pBdr>
      </w:pPr>
      <w:r>
        <w:rPr>
          <w:color w:val="1F3A68"/>
        </w:rPr>
        <w:t>Part IV — Multimodal, Video, and 3D</w:t>
      </w:r>
    </w:p>
    <w:p>
      <w:r>
        <w:rPr>
          <w:b/>
          <w:color w:val="1F3A68"/>
          <w:sz w:val="26"/>
        </w:rPr>
        <w:t>Chapter 13</w:t>
      </w:r>
    </w:p>
    <w:p>
      <w:r>
        <w:rPr>
          <w:b/>
          <w:color w:val="333333"/>
          <w:sz w:val="28"/>
        </w:rPr>
        <w:t>Vision-Language Models: The Multimodal Stack</w:t>
      </w:r>
    </w:p>
    <w:p>
      <w:pPr>
        <w:spacing w:after="280"/>
      </w:pPr>
      <w:r>
        <w:t>Anatomy of a modern VLM: vision encoder + projector + LLM decoder. Covers LLaVA, Qwen2.5-VL, InternVL, Florence-2 / Florence-3, Gemma 3 Vision, and the closed frontier (GPT-4o, Claude Vision Sonnet 4.6/Opus 4.7, Gemini 2.5 Pro). When to fine-tune vs prompt vs use the API. Honest cost/latency/accuracy comparison table. Hands-on: build a chart-and-document Q&amp;A system using the Claude Vision API + a local Qwen2.5-VL fallback.</w:t>
      </w:r>
    </w:p>
    <w:p>
      <w:r>
        <w:rPr>
          <w:b/>
          <w:color w:val="1F3A68"/>
          <w:sz w:val="26"/>
        </w:rPr>
        <w:t>Chapter 14</w:t>
      </w:r>
    </w:p>
    <w:p>
      <w:r>
        <w:rPr>
          <w:b/>
          <w:color w:val="333333"/>
          <w:sz w:val="28"/>
        </w:rPr>
        <w:t>Document AI and Visual Agents</w:t>
      </w:r>
    </w:p>
    <w:p>
      <w:pPr>
        <w:spacing w:after="280"/>
      </w:pPr>
      <w:r>
        <w:t>The most underrated commercial CV application in 2026. Covers OCR (PaddleOCR, Tesseract, Donut), layout analysis (LayoutLMv3, Doctr), table extraction, structured-output VLMs, and the new visual agent loop: screenshot → reason → click. Walks through Claude Computer Use and OpenAI's vision agent pattern. Hands-on: build an invoice-extraction-to-database pipeline and a simple browser-automation agent driven by vision.</w:t>
      </w:r>
    </w:p>
    <w:p>
      <w:r>
        <w:rPr>
          <w:b/>
          <w:color w:val="1F3A68"/>
          <w:sz w:val="26"/>
        </w:rPr>
        <w:t>Chapter 15</w:t>
      </w:r>
    </w:p>
    <w:p>
      <w:r>
        <w:rPr>
          <w:b/>
          <w:color w:val="333333"/>
          <w:sz w:val="28"/>
        </w:rPr>
        <w:t>Video Understanding: Action, Tracking, and VideoMAE</w:t>
      </w:r>
    </w:p>
    <w:p>
      <w:pPr>
        <w:spacing w:after="280"/>
      </w:pPr>
      <w:r>
        <w:t>Temporal modeling: optical flow (Lucas-Kanade, RAFT), 3D CNNs (I3D, SlowFast), VideoMAE, video-language models. Tracking pipeline: SORT → DeepSORT → ByteTrack → BoT-SORT → SAM 2 for video. Action recognition, temporal action detection, and video-text retrieval. Hands-on: build a sports-analytics pipeline that detects, tracks, and counts players' actions in a clip.</w:t>
      </w:r>
    </w:p>
    <w:p>
      <w:r>
        <w:rPr>
          <w:b/>
          <w:color w:val="1F3A68"/>
          <w:sz w:val="26"/>
        </w:rPr>
        <w:t>Chapter 16</w:t>
      </w:r>
    </w:p>
    <w:p>
      <w:r>
        <w:rPr>
          <w:b/>
          <w:color w:val="333333"/>
          <w:sz w:val="28"/>
        </w:rPr>
        <w:t>3D Vision: Depth, NeRF, and Gaussian Splatting</w:t>
      </w:r>
    </w:p>
    <w:p>
      <w:pPr>
        <w:spacing w:after="280"/>
      </w:pPr>
      <w:r>
        <w:t>Monocular depth (MiDaS, Depth Anything v2, Marigold), point clouds (PointNet, PointTransformer), structure-from-motion (COLMAP), NeRF and its descendants (Instant-NGP, Mip-NeRF), and 3D Gaussian Splatting — the 2024-2026 dominant scene representation for real-time photoreal rendering. Bridges to SLAM and AR/VR. Hands-on: capture a scene with a phone, train a 3DGS model in Nerfstudio, and render a fly-through.</w:t>
      </w:r>
    </w:p>
    <w:p>
      <w:r>
        <w:br w:type="page"/>
      </w:r>
    </w:p>
    <w:p>
      <w:pPr>
        <w:pStyle w:val="Heading1"/>
        <w:jc w:val="center"/>
        <w:pBdr>
          <w:bottom w:val="single" w:sz="8" w:space="1" w:color="4A4A4A"/>
        </w:pBdr>
      </w:pPr>
      <w:r>
        <w:rPr>
          <w:color w:val="1F3A68"/>
        </w:rPr>
        <w:t>Part V — Frontiers and Production</w:t>
      </w:r>
    </w:p>
    <w:p>
      <w:r>
        <w:rPr>
          <w:b/>
          <w:color w:val="1F3A68"/>
          <w:sz w:val="26"/>
        </w:rPr>
        <w:t>Chapter 17</w:t>
      </w:r>
    </w:p>
    <w:p>
      <w:r>
        <w:rPr>
          <w:b/>
          <w:color w:val="333333"/>
          <w:sz w:val="28"/>
        </w:rPr>
        <w:t>Vision-Language-Action Models for Robotics and Embodied AI</w:t>
      </w:r>
    </w:p>
    <w:p>
      <w:pPr>
        <w:spacing w:after="280"/>
      </w:pPr>
      <w:r>
        <w:t>The category that didn't exist in 2023 and is now the most exciting in CV. Covers the VLA paradigm (vision encoder + language model + action decoder), RT-1/RT-2, OpenVLA, π0 (Pi-Zero, diffusion-based continuous control), Helix (Figure AI humanoid), and the Open X-Embodiment dataset. Discusses the pose estimation stack (OpenPose, MediaPipe, SMPL) as the bridge from pixels to actions. Hands-on: run OpenVLA in simulation on a manipulation task and visualize its attention over the scene.</w:t>
      </w:r>
    </w:p>
    <w:p>
      <w:r>
        <w:rPr>
          <w:b/>
          <w:color w:val="1F3A68"/>
          <w:sz w:val="26"/>
        </w:rPr>
        <w:t>Chapter 18</w:t>
      </w:r>
    </w:p>
    <w:p>
      <w:r>
        <w:rPr>
          <w:b/>
          <w:color w:val="333333"/>
          <w:sz w:val="28"/>
        </w:rPr>
        <w:t>Domain-Specific Vision: Medical, Autonomous, Geospatial, Agricultural</w:t>
      </w:r>
    </w:p>
    <w:p>
      <w:pPr>
        <w:spacing w:after="280"/>
      </w:pPr>
      <w:r>
        <w:t>How CV is applied where it actually generates revenue. Medical imaging (MONAI, nnU-Net, SAM-Med, regulatory considerations), autonomous driving (BEV perception, BEVFormer, lane detection, sensor fusion, nuScenes), satellite/geospatial (Segment Geospatial, foundation models for Earth observation), and agriculture (DINOv3 + YOLO26 for weed detection — a real 2026 paper). Hands-on: train a domain model in MONAI on a public chest-X-ray dataset and a BEV perception toy example.</w:t>
      </w:r>
    </w:p>
    <w:p>
      <w:r>
        <w:rPr>
          <w:b/>
          <w:color w:val="1F3A68"/>
          <w:sz w:val="26"/>
        </w:rPr>
        <w:t>Chapter 19</w:t>
      </w:r>
    </w:p>
    <w:p>
      <w:r>
        <w:rPr>
          <w:b/>
          <w:color w:val="333333"/>
          <w:sz w:val="28"/>
        </w:rPr>
        <w:t>Optimization and Edge Deployment</w:t>
      </w:r>
    </w:p>
    <w:p>
      <w:pPr>
        <w:spacing w:after="280"/>
      </w:pPr>
      <w:r>
        <w:t>Making models run fast on real hardware. Quantization (PTQ, QAT, INT8, FP16, FP8), pruning (structured/unstructured), knowledge distillation, ONNX export, runtime engines (ONNX Runtime, TensorRT, OpenVINO, Apple CoreML, TFLite, NVIDIA Triton), and edge platforms (Jetson Orin, Raspberry Pi 5 + Hailo, mobile NPUs). Honest benchmarks across the stack. Hands-on: take the YOLO26 from Chapter 7, quantize to INT8, export to TensorRT, and deploy on a Jetson Orin Nano with measured latency.</w:t>
      </w:r>
    </w:p>
    <w:p>
      <w:r>
        <w:rPr>
          <w:b/>
          <w:color w:val="1F3A68"/>
          <w:sz w:val="26"/>
        </w:rPr>
        <w:t>Chapter 20</w:t>
      </w:r>
    </w:p>
    <w:p>
      <w:r>
        <w:rPr>
          <w:b/>
          <w:color w:val="333333"/>
          <w:sz w:val="28"/>
        </w:rPr>
        <w:t>MLOps, Responsible AI, and the Future of Computer Vision</w:t>
      </w:r>
    </w:p>
    <w:p>
      <w:pPr>
        <w:spacing w:after="280"/>
      </w:pPr>
      <w:r>
        <w:t>The end-to-end production loop: data versioning (DVC), label management (Label Studio, Roboflow), active learning, drift detection, model monitoring, A/B testing for vision, CI/CD with MLflow/W&amp;B. Responsible AI: bias auditing, explainability (Grad-CAM, SHAP, Captum), privacy (federated learning, differential privacy for vision), and legal frontiers (EU AI Act, content provenance / C2PA). Closes with a forward-looking section: where CV is heading by 2028 (unified VLA agents, neural rendering as default, on-device foundation models). Capstone: ship the running case-study pipeline end-to-end as a monitored production service.</w:t>
      </w:r>
    </w:p>
    <w:p>
      <w:r>
        <w:br w:type="page"/>
      </w:r>
    </w:p>
    <w:p>
      <w:pPr>
        <w:pStyle w:val="Heading1"/>
      </w:pPr>
      <w:r>
        <w:rPr>
          <w:color w:val="1F3A68"/>
        </w:rPr>
        <w:t>2-Month Writing Schedule (8 Weeks)</w:t>
      </w:r>
    </w:p>
    <w:p>
      <w:r>
        <w:t>Assumptions: ~2 hours of focused writing/day (≈1,500 words on a good day) + 1 hour code/figures, 6 days/week. Each chapter ≈ 3 working days. Parallelism (researching one chapter while drafting the previous) compresses 60 working days into 8 calendar weeks. See WRITING_PLAN.xlsx for the day-by-day grid.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t>Week 0 (Pre-launch)</w:t>
            </w:r>
          </w:p>
        </w:tc>
        <w:tc>
          <w:tcPr>
            <w:tcW w:type="dxa" w:w="4320"/>
          </w:tcPr>
          <w:p>
            <w:r>
              <w:t>Set up GitHub repo, pick running case-study dataset, draft chapter template, block writing hours.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Ch 1 (Landscape) → Ch 2 (Pixel ops) → outline Ch 3.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Ch 3 (Classical features, panorama) → Ch 4 (Camera geometry, stereo).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Ch 5 (CNNs ResNet-18) → Ch 6 (Training tricks).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Ch 7 (YOLO26 + RT-DETR) → Ch 8 (SAM 3 + Grounding DINO). Mid-book consistency pass.</w:t>
            </w:r>
          </w:p>
        </w:tc>
      </w:tr>
      <w:tr>
        <w:tc>
          <w:tcPr>
            <w:tcW w:type="dxa" w:w="4320"/>
          </w:tcPr>
          <w:p>
            <w:r>
              <w:t>Week 5</w:t>
            </w:r>
          </w:p>
        </w:tc>
        <w:tc>
          <w:tcPr>
            <w:tcW w:type="dxa" w:w="4320"/>
          </w:tcPr>
          <w:p>
            <w:r>
              <w:t>Ch 9 (ViTs) → Ch 10 (DINOv3, frozen-backbone notebook).</w:t>
            </w:r>
          </w:p>
        </w:tc>
      </w:tr>
      <w:tr>
        <w:tc>
          <w:tcPr>
            <w:tcW w:type="dxa" w:w="4320"/>
          </w:tcPr>
          <w:p>
            <w:r>
              <w:t>Week 6</w:t>
            </w:r>
          </w:p>
        </w:tc>
        <w:tc>
          <w:tcPr>
            <w:tcW w:type="dxa" w:w="4320"/>
          </w:tcPr>
          <w:p>
            <w:r>
              <w:t>Ch 11 (CLIP + FAISS) → Ch 12 (Diffusion, hardest figures) → Ch 13 (VLMs + Claude Vision).</w:t>
            </w:r>
          </w:p>
        </w:tc>
      </w:tr>
      <w:tr>
        <w:tc>
          <w:tcPr>
            <w:tcW w:type="dxa" w:w="4320"/>
          </w:tcPr>
          <w:p>
            <w:r>
              <w:t>Week 7</w:t>
            </w:r>
          </w:p>
        </w:tc>
        <w:tc>
          <w:tcPr>
            <w:tcW w:type="dxa" w:w="4320"/>
          </w:tcPr>
          <w:p>
            <w:r>
              <w:t>Ch 14 (Document AI / agents) → Ch 15 (Video) → Ch 16 (3DGS) → start Ch 17.</w:t>
            </w:r>
          </w:p>
        </w:tc>
      </w:tr>
      <w:tr>
        <w:tc>
          <w:tcPr>
            <w:tcW w:type="dxa" w:w="4320"/>
          </w:tcPr>
          <w:p>
            <w:r>
              <w:t>Week 8</w:t>
            </w:r>
          </w:p>
        </w:tc>
        <w:tc>
          <w:tcPr>
            <w:tcW w:type="dxa" w:w="4320"/>
          </w:tcPr>
          <w:p>
            <w:r>
              <w:t>Ch 17 (VLA) → Ch 18 (Domains) → Ch 19 (Edge) → Ch 20 (MLOps + Future). Cross-chapter pass.</w:t>
            </w:r>
          </w:p>
        </w:tc>
      </w:tr>
      <w:tr>
        <w:tc>
          <w:tcPr>
            <w:tcW w:type="dxa" w:w="4320"/>
          </w:tcPr>
          <w:p>
            <w:r>
              <w:t>Week 9 (buffer)</w:t>
            </w:r>
          </w:p>
        </w:tc>
        <w:tc>
          <w:tcPr>
            <w:tcW w:type="dxa" w:w="4320"/>
          </w:tcPr>
          <w:p>
            <w:r>
              <w:t>Full read-through, technical reviewer feedback, polish figures, write Preface.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8"/>
        </w:rPr>
        <w:t>Open Decisions</w:t>
      </w:r>
    </w:p>
    <w:p>
      <w:r>
        <w:rPr>
          <w:b/>
          <w:sz w:val="24"/>
        </w:rPr>
        <w:t>Single framework or both?</w:t>
      </w:r>
    </w:p>
    <w:p>
      <w:r>
        <w:t>PyTorch-only is faster to write and matches modern research; including TensorFlow/Keras doubles code maintenance but widens audience. Recommended: PyTorch-only with one TF appendix.</w:t>
      </w:r>
    </w:p>
    <w:p>
      <w:r>
        <w:rPr>
          <w:b/>
          <w:sz w:val="24"/>
        </w:rPr>
        <w:t>Math depth?</w:t>
      </w:r>
    </w:p>
    <w:p>
      <w:r>
        <w:t>"Understand enough to debug" (recommended, practitioner audience) vs "rigorous derivations" (academic audience). Pick one and hold the line.</w:t>
      </w:r>
    </w:p>
    <w:p>
      <w:r>
        <w:rPr>
          <w:b/>
          <w:sz w:val="24"/>
        </w:rPr>
        <w:t>Running case-study dataset?</w:t>
      </w:r>
    </w:p>
    <w:p>
      <w:r>
        <w:t>Recommend pairing MS-COCO (general) with a domain set you already know (medical, agriculture from EY, frog SDM) so domain examples come from real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