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Table 1. Median and interquartile range of estimated mass loads (mg) of substances that passed through the entire stadium over the course of the game</w:t>
      </w:r>
    </w:p>
    <w:p>
      <w:pPr>
        <w:pStyle w:val="Compact"/>
      </w:pPr>
      <w:r>
        <w:t xml:space="preserve">Metabolite</w:t>
      </w:r>
    </w:p>
    <w:p>
      <w:pPr>
        <w:pStyle w:val="Compact"/>
      </w:pPr>
      <w:r>
        <w:t xml:space="preserve">Mass load (mg)</w:t>
      </w:r>
    </w:p>
    <w:p>
      <w:pPr>
        <w:pStyle w:val="Compact"/>
      </w:pPr>
      <w:r>
        <w:t xml:space="preserve">Mass load per 1,000 attendees (mg)</w:t>
      </w:r>
    </w:p>
    <w:p>
      <w:pPr>
        <w:pStyle w:val="Compact"/>
      </w:pPr>
      <w:r>
        <w:t xml:space="preserve">Oxycodone</w:t>
      </w:r>
    </w:p>
    <w:p>
      <w:pPr>
        <w:pStyle w:val="Compact"/>
      </w:pPr>
      <w:r>
        <w:t xml:space="preserve">1,072.6 (561.3, 2,229.5)</w:t>
      </w:r>
    </w:p>
    <w:p>
      <w:pPr>
        <w:pStyle w:val="Compact"/>
      </w:pPr>
      <w:r>
        <w:t xml:space="preserve">13.3 (7, 27.6)</w:t>
      </w:r>
    </w:p>
    <w:p>
      <w:pPr>
        <w:pStyle w:val="Compact"/>
      </w:pPr>
      <w:r>
        <w:t xml:space="preserve">Norhydrocodone</w:t>
      </w:r>
    </w:p>
    <w:p>
      <w:pPr>
        <w:pStyle w:val="Compact"/>
      </w:pPr>
      <w:r>
        <w:t xml:space="preserve">1,076.4 (499, 2,526.2)</w:t>
      </w:r>
    </w:p>
    <w:p>
      <w:pPr>
        <w:pStyle w:val="Compact"/>
      </w:pPr>
      <w:r>
        <w:t xml:space="preserve">13.3 (6.2, 31.3)</w:t>
      </w:r>
    </w:p>
    <w:p>
      <w:pPr>
        <w:pStyle w:val="Compact"/>
      </w:pPr>
      <w:r>
        <w:t xml:space="preserve">Hydrocodone</w:t>
      </w:r>
    </w:p>
    <w:p>
      <w:pPr>
        <w:pStyle w:val="Compact"/>
      </w:pPr>
      <w:r>
        <w:t xml:space="preserve">930.7 (554.7, 1,800.7)</w:t>
      </w:r>
    </w:p>
    <w:p>
      <w:pPr>
        <w:pStyle w:val="Compact"/>
      </w:pPr>
      <w:r>
        <w:t xml:space="preserve">11.5 (6.9, 22.3)</w:t>
      </w:r>
    </w:p>
    <w:p>
      <w:pPr>
        <w:pStyle w:val="Compact"/>
      </w:pPr>
      <w:r>
        <w:t xml:space="preserve">Noroxycodone</w:t>
      </w:r>
    </w:p>
    <w:p>
      <w:pPr>
        <w:pStyle w:val="Compact"/>
      </w:pPr>
      <w:r>
        <w:t xml:space="preserve">7,110.1 (5,293.1, 10,026.5)</w:t>
      </w:r>
    </w:p>
    <w:p>
      <w:pPr>
        <w:pStyle w:val="Compact"/>
      </w:pPr>
      <w:r>
        <w:t xml:space="preserve">88.2 (65.6, 124.3)</w:t>
      </w:r>
    </w:p>
    <w:p>
      <w:pPr>
        <w:pStyle w:val="Compact"/>
      </w:pPr>
      <w:r>
        <w:t xml:space="preserve">Phentermine</w:t>
      </w:r>
    </w:p>
    <w:p>
      <w:pPr>
        <w:pStyle w:val="Compact"/>
      </w:pPr>
      <w:r>
        <w:t xml:space="preserve">5,542.7 (3,796.9, 8,428.7)</w:t>
      </w:r>
    </w:p>
    <w:p>
      <w:pPr>
        <w:pStyle w:val="Compact"/>
      </w:pPr>
      <w:r>
        <w:t xml:space="preserve">68.7 (47.1, 104.5)</w:t>
      </w:r>
    </w:p>
    <w:p>
      <w:pPr>
        <w:pStyle w:val="Compact"/>
      </w:pPr>
      <w:r>
        <w:t xml:space="preserve">Cocaine</w:t>
      </w:r>
    </w:p>
    <w:p>
      <w:pPr>
        <w:pStyle w:val="Compact"/>
      </w:pPr>
      <w:r>
        <w:t xml:space="preserve">4,549.1 (3,254.3, 6,425.4)</w:t>
      </w:r>
    </w:p>
    <w:p>
      <w:pPr>
        <w:pStyle w:val="Compact"/>
      </w:pPr>
      <w:r>
        <w:t xml:space="preserve">56.4 (40.4, 79.7)</w:t>
      </w:r>
    </w:p>
    <w:p>
      <w:pPr>
        <w:pStyle w:val="Compact"/>
      </w:pPr>
      <w:r>
        <w:t xml:space="preserve">Benzoylecgonine</w:t>
      </w:r>
    </w:p>
    <w:p>
      <w:pPr>
        <w:pStyle w:val="Compact"/>
      </w:pPr>
      <w:r>
        <w:t xml:space="preserve">6,834.7 (5,030.6, 9,386.4)</w:t>
      </w:r>
    </w:p>
    <w:p>
      <w:pPr>
        <w:pStyle w:val="Compact"/>
      </w:pPr>
      <w:r>
        <w:t xml:space="preserve">84.7 (62.4, 116.4)</w:t>
      </w:r>
    </w:p>
    <w:p>
      <w:pPr>
        <w:pStyle w:val="Compact"/>
      </w:pPr>
      <w:r>
        <w:t xml:space="preserve">Amphetamine</w:t>
      </w:r>
    </w:p>
    <w:p>
      <w:pPr>
        <w:pStyle w:val="Compact"/>
      </w:pPr>
      <w:r>
        <w:t xml:space="preserve">3,709.1 (2,310.8, 6,131.6)</w:t>
      </w:r>
    </w:p>
    <w:p>
      <w:pPr>
        <w:pStyle w:val="Compact"/>
      </w:pPr>
      <w:r>
        <w:t xml:space="preserve">46 (28.7, 76)</w:t>
      </w:r>
    </w:p>
    <w:p>
      <w:pPr>
        <w:pStyle w:val="Compact"/>
      </w:pPr>
      <w:r>
        <w:t xml:space="preserve">Tramadol</w:t>
      </w:r>
    </w:p>
    <w:p>
      <w:pPr>
        <w:pStyle w:val="Compact"/>
      </w:pPr>
      <w:r>
        <w:t xml:space="preserve">10,433.1 (6,038.7, 19,432.5)</w:t>
      </w:r>
    </w:p>
    <w:p>
      <w:pPr>
        <w:pStyle w:val="Compact"/>
      </w:pPr>
      <w:r>
        <w:t xml:space="preserve">129.4 (74.9, 240.9)</w:t>
      </w:r>
    </w:p>
    <w:p>
      <w:pPr>
        <w:pStyle w:val="Compact"/>
      </w:pPr>
      <w:r>
        <w:t xml:space="preserve">Pseudoephedrine</w:t>
      </w:r>
    </w:p>
    <w:p>
      <w:pPr>
        <w:pStyle w:val="Compact"/>
      </w:pPr>
      <w:r>
        <w:t xml:space="preserve">68,375.1 (50,480.5, 94,306.3)</w:t>
      </w:r>
    </w:p>
    <w:p>
      <w:pPr>
        <w:pStyle w:val="Compact"/>
      </w:pPr>
      <w:r>
        <w:t xml:space="preserve">847.8 (625.9, 1,169.3)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2020-09-11T17:18:47Z</dcterms:created>
  <dcterms:modified xsi:type="dcterms:W3CDTF">2020-09-11T17:18:47Z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