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Times New Roman" w:cs="Times New Roman" w:eastAsia="Times New Roman" w:hAnsi="Times New Roman"/>
          <w:b/>
          <w:bCs/>
          <w:sz w:val="24"/>
          <w:szCs w:val="24"/>
        </w:rPr>
        <w:t xml:space="preserve">MESTRADO EM CIÊNCIAS DE DADOS E INTELIGÊNCIA ARTIFICIAL NA ADMINISTRAÇÃO PÚBLICA</w:t>
      </w:r>
    </w:p>
    <w:p>
      <w:pPr>
        <w:spacing w:after="800"/>
        <w:jc w:val="center"/>
      </w:pPr>
      <w:r>
        <w:rPr>
          <w:rFonts w:ascii="Times New Roman" w:cs="Times New Roman" w:eastAsia="Times New Roman" w:hAnsi="Times New Roman"/>
          <w:sz w:val="24"/>
          <w:szCs w:val="24"/>
        </w:rPr>
        <w:t xml:space="preserve">Disciplina: [nome da disciplina]</w:t>
      </w:r>
    </w:p>
    <w:p>
      <w:pPr>
        <w:spacing w:after="400" w:before="1200"/>
        <w:jc w:val="center"/>
      </w:pPr>
      <w:r>
        <w:rPr>
          <w:rFonts w:ascii="Times New Roman" w:cs="Times New Roman" w:eastAsia="Times New Roman" w:hAnsi="Times New Roman"/>
          <w:b/>
          <w:bCs/>
          <w:sz w:val="28"/>
          <w:szCs w:val="28"/>
        </w:rPr>
        <w:t xml:space="preserve">CHANCES DE SUCESSO DE UMA RECLAMAÇÃO NO SUPREMO TRIBUNAL FEDERAL ANTES DO AJUIZAMENTO: UMA ANÁLISE JURIMÉTRICA PRELIMINAR</w:t>
      </w:r>
    </w:p>
    <w:p>
      <w:pPr>
        <w:spacing w:after="200" w:before="1200"/>
        <w:jc w:val="center"/>
      </w:pPr>
      <w:r>
        <w:rPr>
          <w:rFonts w:ascii="Times New Roman" w:cs="Times New Roman" w:eastAsia="Times New Roman" w:hAnsi="Times New Roman"/>
          <w:i/>
          <w:iCs/>
          <w:sz w:val="24"/>
          <w:szCs w:val="24"/>
        </w:rPr>
        <w:t xml:space="preserve">Relatório Parcial — Atividade 1: Projeto Parcial</w:t>
      </w:r>
    </w:p>
    <w:p>
      <w:pPr>
        <w:spacing w:after="3000"/>
      </w:pPr>
    </w:p>
    <w:p>
      <w:pPr>
        <w:spacing w:after="100"/>
        <w:jc w:val="center"/>
      </w:pPr>
      <w:r>
        <w:rPr>
          <w:rFonts w:ascii="Times New Roman" w:cs="Times New Roman" w:eastAsia="Times New Roman" w:hAnsi="Times New Roman"/>
          <w:sz w:val="24"/>
          <w:szCs w:val="24"/>
        </w:rPr>
        <w:t xml:space="preserve">Marcos Meira</w:t>
      </w:r>
    </w:p>
    <w:p>
      <w:pPr>
        <w:spacing w:after="100"/>
        <w:jc w:val="center"/>
      </w:pPr>
      <w:r>
        <w:rPr>
          <w:rFonts w:ascii="Times New Roman" w:cs="Times New Roman" w:eastAsia="Times New Roman" w:hAnsi="Times New Roman"/>
          <w:sz w:val="24"/>
          <w:szCs w:val="24"/>
        </w:rPr>
        <w:t xml:space="preserve">prof.marcosmeira@gmail.com</w:t>
      </w:r>
    </w:p>
    <w:p>
      <w:pPr>
        <w:spacing w:after="100"/>
        <w:jc w:val="center"/>
      </w:pPr>
      <w:r>
        <w:rPr>
          <w:rFonts w:ascii="Times New Roman" w:cs="Times New Roman" w:eastAsia="Times New Roman" w:hAnsi="Times New Roman"/>
          <w:sz w:val="24"/>
          <w:szCs w:val="24"/>
        </w:rPr>
        <w:t xml:space="preserve">Setembro de 2026</w:t>
      </w:r>
    </w:p>
    <w:p>
      <w:pPr>
        <w:pageBreakBefore/>
      </w:pPr>
      <w:r>
        <w:br/>
        <w:t xml:space="preserve"/>
      </w:r>
    </w:p>
    <w:p>
      <w:pPr>
        <w:pStyle w:val="Heading1"/>
        <w:spacing w:after="240" w:before="360"/>
        <w:jc w:val="left"/>
      </w:pPr>
      <w:r>
        <w:rPr>
          <w:rFonts w:ascii="Times New Roman" w:cs="Times New Roman" w:eastAsia="Times New Roman" w:hAnsi="Times New Roman"/>
          <w:b/>
          <w:bCs/>
          <w:sz w:val="28"/>
          <w:szCs w:val="28"/>
        </w:rPr>
        <w:t xml:space="preserve">1. INTRODUÇÃO</w:t>
      </w:r>
    </w:p>
    <w:p>
      <w:pPr>
        <w:spacing w:after="200" w:line="360"/>
        <w:ind w:firstLine="720"/>
        <w:jc w:val="both"/>
      </w:pPr>
      <w:r>
        <w:rPr>
          <w:rFonts w:ascii="Times New Roman" w:cs="Times New Roman" w:eastAsia="Times New Roman" w:hAnsi="Times New Roman"/>
          <w:b w:val="false"/>
          <w:bCs w:val="false"/>
          <w:i w:val="false"/>
          <w:iCs w:val="false"/>
          <w:sz w:val="24"/>
          <w:szCs w:val="24"/>
        </w:rPr>
        <w:t xml:space="preserve">A reclamação constitucional é o instrumento processual pelo qual uma parte provoca o Supremo Tribunal Federal (STF) a preservar sua competência ou a garantir a autoridade de suas decisões, súmulas ou teses vinculantes, quando entende que um órgão judicial (ou, em hipóteses específicas, administrativo) proferiu ato que os contraria. Trata-se de instrumento de uso crescente na jurisdição constitucional brasileira, cuja procedência, no entanto, está longe de ser automática: depende de requisitos processuais estritos e de uma análise de mérito sobre a efetiva aderência (ou não) do ato reclamado ao paradigma invocado.</w:t>
      </w:r>
    </w:p>
    <w:p>
      <w:pPr>
        <w:spacing w:after="200" w:line="360"/>
        <w:ind w:firstLine="720"/>
        <w:jc w:val="both"/>
      </w:pPr>
      <w:r>
        <w:rPr>
          <w:rFonts w:ascii="Times New Roman" w:cs="Times New Roman" w:eastAsia="Times New Roman" w:hAnsi="Times New Roman"/>
          <w:b w:val="false"/>
          <w:bCs w:val="false"/>
          <w:i w:val="false"/>
          <w:iCs w:val="false"/>
          <w:sz w:val="24"/>
          <w:szCs w:val="24"/>
        </w:rPr>
        <w:t xml:space="preserve">No momento de decidir se ajuíza ou não uma reclamação, o jurisdicionado e seu advogado avaliam, em geral de forma intuitiva e baseada na experiência pessoal, a probabilidade de êxito da medida diante do custo, do tempo de tramitação e do risco de insucesso envolvidos. Essa avaliação, contudo, pode ser informada de forma mais sistemática a partir da análise de dados históricos de reclamações já julgadas pelo STF, observando-se como a taxa de procedência varia conforme características observáveis já no momento do ajuizamento — como o tipo de controvérsia (assunto), o segmento de justiça de origem do ato reclamado e a natureza da decisão paradigma invocada (decisão em controle concentrado, em recurso extraordinário com repercussão geral, em súmula vinculante ou decisão inter partes).</w:t>
      </w:r>
    </w:p>
    <w:p>
      <w:pPr>
        <w:spacing w:after="200" w:line="360"/>
        <w:ind w:firstLine="720"/>
        <w:jc w:val="both"/>
      </w:pPr>
      <w:r>
        <w:rPr>
          <w:rFonts w:ascii="Times New Roman" w:cs="Times New Roman" w:eastAsia="Times New Roman" w:hAnsi="Times New Roman"/>
          <w:b w:val="false"/>
          <w:bCs w:val="false"/>
          <w:i w:val="false"/>
          <w:iCs w:val="false"/>
          <w:sz w:val="24"/>
          <w:szCs w:val="24"/>
        </w:rPr>
        <w:t xml:space="preserve">Esse é o campo da jurimetria: a aplicação de métodos estatísticos e, mais recentemente, de aprendizado de máquina, ao estudo sistemático do comportamento judicial e ao apoio à tomada de decisão jurídica. O presente trabalho insere-se nesse campo, propondo-se a investigar, a partir de uma base de dados real de reclamações julgadas pelo STF entre 2011 e 2018, em que medida é possível antecipar a chance de sucesso de uma reclamação antes de seu ajuizamento, com base em características disponíveis nesse momento.</w:t>
      </w:r>
    </w:p>
    <w:p>
      <w:pPr>
        <w:spacing w:after="200" w:line="360"/>
        <w:ind w:firstLine="720"/>
        <w:jc w:val="both"/>
      </w:pPr>
      <w:r>
        <w:rPr>
          <w:rFonts w:ascii="Times New Roman" w:cs="Times New Roman" w:eastAsia="Times New Roman" w:hAnsi="Times New Roman"/>
          <w:b w:val="false"/>
          <w:bCs w:val="false"/>
          <w:i w:val="false"/>
          <w:iCs w:val="false"/>
          <w:sz w:val="24"/>
          <w:szCs w:val="24"/>
        </w:rPr>
        <w:t xml:space="preserve">Este relatório apresenta a etapa parcial do projeto de pesquisa, correspondente à formulação do problema, à definição dos objetivos, à revisão da literatura que fundamenta teoricamente a escolha do tema e do método, e à análise exploratória inicial da base de dados (apresentada de forma detalhada e comentada no notebook Jupyter entregue em conjunto com este documento).</w:t>
      </w:r>
    </w:p>
    <w:p>
      <w:pPr>
        <w:pStyle w:val="Heading1"/>
        <w:spacing w:after="240" w:before="360"/>
        <w:jc w:val="left"/>
      </w:pPr>
      <w:r>
        <w:rPr>
          <w:rFonts w:ascii="Times New Roman" w:cs="Times New Roman" w:eastAsia="Times New Roman" w:hAnsi="Times New Roman"/>
          <w:b/>
          <w:bCs/>
          <w:sz w:val="28"/>
          <w:szCs w:val="28"/>
        </w:rPr>
        <w:t xml:space="preserve">2. OBJETIVOS</w:t>
      </w:r>
    </w:p>
    <w:p>
      <w:pPr>
        <w:pStyle w:val="Heading2"/>
        <w:spacing w:after="240" w:before="360"/>
        <w:jc w:val="left"/>
      </w:pPr>
      <w:r>
        <w:rPr>
          <w:rFonts w:ascii="Times New Roman" w:cs="Times New Roman" w:eastAsia="Times New Roman" w:hAnsi="Times New Roman"/>
          <w:b/>
          <w:bCs/>
          <w:sz w:val="26"/>
          <w:szCs w:val="26"/>
        </w:rPr>
        <w:t xml:space="preserve">2.1 Objetivo geral</w:t>
      </w:r>
    </w:p>
    <w:p>
      <w:pPr>
        <w:spacing w:after="200" w:line="360"/>
        <w:ind w:firstLine="720"/>
        <w:jc w:val="both"/>
      </w:pPr>
      <w:r>
        <w:rPr>
          <w:rFonts w:ascii="Times New Roman" w:cs="Times New Roman" w:eastAsia="Times New Roman" w:hAnsi="Times New Roman"/>
          <w:b w:val="false"/>
          <w:bCs w:val="false"/>
          <w:i w:val="false"/>
          <w:iCs w:val="false"/>
          <w:sz w:val="24"/>
          <w:szCs w:val="24"/>
        </w:rPr>
        <w:t xml:space="preserve">Investigar, a partir de dados históricos de reclamações constitucionais julgadas pelo Supremo Tribunal Federal, em que medida características observáveis no momento do ajuizamento permitem estimar a probabilidade de êxito (procedência) da reclamação, com vistas ao desenvolvimento futuro de um modelo preditivo de classificação binária que possa subsidiar a decisão de ajuizar ou não a medida.</w:t>
      </w:r>
    </w:p>
    <w:p>
      <w:pPr>
        <w:pStyle w:val="Heading2"/>
        <w:spacing w:after="240" w:before="360"/>
        <w:jc w:val="left"/>
      </w:pPr>
      <w:r>
        <w:rPr>
          <w:rFonts w:ascii="Times New Roman" w:cs="Times New Roman" w:eastAsia="Times New Roman" w:hAnsi="Times New Roman"/>
          <w:b/>
          <w:bCs/>
          <w:sz w:val="26"/>
          <w:szCs w:val="26"/>
        </w:rPr>
        <w:t xml:space="preserve">2.2 Objetivos específicos</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a) Descrever e organizar uma base de dados real de decisões do STF em reclamações constitucionais, incluindo a construção de um dicionário de dados completo;</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b) Caracterizar, por meio de estatística descritiva (medidas de posição e de dispersão) e de exploração gráfica, a distribuição da variável-alvo (resultado do julgamento) e das principais variáveis candidatas a preditoras;</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c) Identificar, de forma preliminar, relações entre o tipo/assunto da reclamação, o segmento de justiça de origem, a natureza do paradigma invocado e a taxa de sucesso do pedido;</w:t>
      </w:r>
    </w:p>
    <w:p>
      <w:pPr>
        <w:spacing w:after="120" w:line="360"/>
        <w:ind w:firstLine="720"/>
        <w:jc w:val="both"/>
      </w:pPr>
      <w:r>
        <w:rPr>
          <w:rFonts w:ascii="Times New Roman" w:cs="Times New Roman" w:eastAsia="Times New Roman" w:hAnsi="Times New Roman"/>
          <w:b w:val="false"/>
          <w:bCs w:val="false"/>
          <w:i w:val="false"/>
          <w:iCs w:val="false"/>
          <w:sz w:val="24"/>
          <w:szCs w:val="24"/>
        </w:rPr>
        <w:t xml:space="preserve">d) Diagnosticar problemas de qualidade dos dados (valores ausentes, inconsistências e necessidades de padronização) que deverão ser tratados antes da etapa de modelagem preditiva;</w:t>
      </w:r>
    </w:p>
    <w:p>
      <w:pPr>
        <w:spacing w:after="200" w:line="360"/>
        <w:ind w:firstLine="720"/>
        <w:jc w:val="both"/>
      </w:pPr>
      <w:r>
        <w:rPr>
          <w:rFonts w:ascii="Times New Roman" w:cs="Times New Roman" w:eastAsia="Times New Roman" w:hAnsi="Times New Roman"/>
          <w:b w:val="false"/>
          <w:bCs w:val="false"/>
          <w:i w:val="false"/>
          <w:iCs w:val="false"/>
          <w:sz w:val="24"/>
          <w:szCs w:val="24"/>
        </w:rPr>
        <w:t xml:space="preserve">e) Estabelecer, com base no referencial teórico revisado, a estratégia metodológica (modelos estatísticos e de aprendizado de máquina) a ser empregada nas etapas subsequentes da pesquisa.</w:t>
      </w:r>
    </w:p>
    <w:p>
      <w:pPr>
        <w:pStyle w:val="Heading1"/>
        <w:spacing w:after="240" w:before="360"/>
        <w:jc w:val="left"/>
      </w:pPr>
      <w:r>
        <w:rPr>
          <w:rFonts w:ascii="Times New Roman" w:cs="Times New Roman" w:eastAsia="Times New Roman" w:hAnsi="Times New Roman"/>
          <w:b/>
          <w:bCs/>
          <w:sz w:val="28"/>
          <w:szCs w:val="28"/>
        </w:rPr>
        <w:t xml:space="preserve">3. REFERENCIAL TEÓRICO</w:t>
      </w:r>
    </w:p>
    <w:p>
      <w:pPr>
        <w:spacing w:after="200" w:line="360"/>
        <w:ind w:firstLine="720"/>
        <w:jc w:val="both"/>
      </w:pPr>
      <w:r>
        <w:rPr>
          <w:rFonts w:ascii="Times New Roman" w:cs="Times New Roman" w:eastAsia="Times New Roman" w:hAnsi="Times New Roman"/>
          <w:b w:val="false"/>
          <w:bCs w:val="false"/>
          <w:i w:val="false"/>
          <w:iCs w:val="false"/>
          <w:sz w:val="24"/>
          <w:szCs w:val="24"/>
        </w:rPr>
        <w:t xml:space="preserve">O tema deste projeto dialoga com três correntes de literatura: (i) os estudos de jurimetria e análise quantitativa do comportamento do Supremo Tribunal Federal; (ii) a literatura metodológica sobre análise de dados categóricos e regressão logística, adequada a variáveis-resposta binárias como a deste estudo; e (iii) a discussão, na ciência de dados, sobre o papel complementar — e não substitutivo — de modelos preditivos frente à análise humana especializada, especialmente quando aplicados a fenômenos jurídicos.</w:t>
      </w:r>
    </w:p>
    <w:p>
      <w:pPr>
        <w:spacing w:after="200" w:line="360"/>
        <w:ind w:firstLine="720"/>
        <w:jc w:val="both"/>
      </w:pPr>
      <w:r>
        <w:rPr>
          <w:rFonts w:ascii="Times New Roman" w:cs="Times New Roman" w:eastAsia="Times New Roman" w:hAnsi="Times New Roman"/>
          <w:b w:val="false"/>
          <w:bCs w:val="false"/>
          <w:i w:val="false"/>
          <w:iCs w:val="false"/>
          <w:sz w:val="24"/>
          <w:szCs w:val="24"/>
        </w:rPr>
        <w:t xml:space="preserve">O uso da reclamação constitucional já foi objeto de investigação empírica sistemática. Houaiss (2019), em tese de doutorado dedicada especificamente ao tema, construiu uma base de dados com milhares de decisões do STF em reclamações julgadas entre 2011 e 2018, combinando coleta automatizada do acervo processual, análise exploratória e modelagem preditiva (regressão logística e algoritmos de aprendizado de máquina, como floresta aleatória e boosting) para estimar a probabilidade de procedência da reclamação a partir de características como o segmento de origem, a natureza do paradigma invocado e a ocorrência de agravo. É exatamente essa base de dados, publicada e documentada, que fundamenta a análise exploratória apresentada neste projeto parcial — o presente trabalho a reutiliza, com citação explícita da fonte, como ponto de partida para uma investigação própria sobre o mesmo fenômeno, com o diferencial de orientar a análise para o momento de decisão do jurisdicionado antes do ajuizamento.</w:t>
      </w:r>
    </w:p>
    <w:p>
      <w:pPr>
        <w:spacing w:after="200" w:line="360"/>
        <w:ind w:firstLine="720"/>
        <w:jc w:val="both"/>
      </w:pPr>
      <w:r>
        <w:rPr>
          <w:rFonts w:ascii="Times New Roman" w:cs="Times New Roman" w:eastAsia="Times New Roman" w:hAnsi="Times New Roman"/>
          <w:b w:val="false"/>
          <w:bCs w:val="false"/>
          <w:i w:val="false"/>
          <w:iCs w:val="false"/>
          <w:sz w:val="24"/>
          <w:szCs w:val="24"/>
        </w:rPr>
        <w:t xml:space="preserve">Em um plano mais amplo, o projeto "Supremo em Números", da Fundação Getúlio Vargas, consolidou uma tradição de pesquisa quantitativa sobre o funcionamento do STF, produzindo diagnósticos empíricos sobre padrões decisórios, composição da pauta e comportamento da Corte a partir de grandes volumes de dados processuais (Falcão et al., 2018). Essa tradição de pesquisa é o pano de fundo institucional que legitima e viabiliza metodologicamente a abordagem adotada aqui: tratar decisões judiciais como dados passíveis de análise estatística sistemática, sem prejuízo do reconhecimento de que a decisão jurídica não se reduz a um fenômeno puramente estatístico.</w:t>
      </w:r>
    </w:p>
    <w:p>
      <w:pPr>
        <w:spacing w:after="200" w:line="360"/>
        <w:ind w:firstLine="720"/>
        <w:jc w:val="both"/>
      </w:pPr>
      <w:r>
        <w:rPr>
          <w:rFonts w:ascii="Times New Roman" w:cs="Times New Roman" w:eastAsia="Times New Roman" w:hAnsi="Times New Roman"/>
          <w:b w:val="false"/>
          <w:bCs w:val="false"/>
          <w:i w:val="false"/>
          <w:iCs w:val="false"/>
          <w:sz w:val="24"/>
          <w:szCs w:val="24"/>
        </w:rPr>
        <w:t xml:space="preserve">Do ponto de vista metodológico, a variável-alvo deste estudo é binária (reclamação julgada procedente ou improcedente), o que enquadra o problema no campo da análise de dados categóricos. Agresti (2018) oferece o tratamento estatístico de referência para variáveis-resposta categóricas, incluindo a regressão logística — modelo naturalmente indicado para estimar a probabilidade de um evento binário a partir de preditores categóricos e contínuos, e que será a técnica estatística de partida na etapa de modelagem deste projeto.</w:t>
      </w:r>
    </w:p>
    <w:p>
      <w:pPr>
        <w:spacing w:after="200" w:line="360"/>
        <w:ind w:firstLine="720"/>
        <w:jc w:val="both"/>
      </w:pPr>
      <w:r>
        <w:rPr>
          <w:rFonts w:ascii="Times New Roman" w:cs="Times New Roman" w:eastAsia="Times New Roman" w:hAnsi="Times New Roman"/>
          <w:b w:val="false"/>
          <w:bCs w:val="false"/>
          <w:i w:val="false"/>
          <w:iCs w:val="false"/>
          <w:sz w:val="24"/>
          <w:szCs w:val="24"/>
        </w:rPr>
        <w:t xml:space="preserve">Para além da abordagem estatística clássica, este projeto também considera, em etapas futuras, o uso de algoritmos de aprendizado de máquina (por exemplo, florestas aleatórias e boosting). Breiman (2001), em texto seminal sobre as "duas culturas" da modelagem estatística, argumenta que modelos algorítmicos — que não pressupõem a priori uma forma funcional explicativa para os dados — podem complementar os modelos estatísticos tradicionais, sobretudo quando o objetivo primário é a capacidade preditiva e não apenas a interpretação dos coeficientes. Essa distinção orienta a estratégia deste projeto de comparar, nas próximas etapas, um modelo explicativo (regressão logística) a modelos preditivos de aprendizado de máquina.</w:t>
      </w:r>
    </w:p>
    <w:p>
      <w:pPr>
        <w:spacing w:after="200" w:line="360"/>
        <w:ind w:firstLine="720"/>
        <w:jc w:val="both"/>
      </w:pPr>
      <w:r>
        <w:rPr>
          <w:rFonts w:ascii="Times New Roman" w:cs="Times New Roman" w:eastAsia="Times New Roman" w:hAnsi="Times New Roman"/>
          <w:b w:val="false"/>
          <w:bCs w:val="false"/>
          <w:i w:val="false"/>
          <w:iCs w:val="false"/>
          <w:sz w:val="24"/>
          <w:szCs w:val="24"/>
        </w:rPr>
        <w:t xml:space="preserve">Por fim, ainda que este projeto não envolva, nesta etapa, mineração de texto das decisões judiciais, vale registrar a advertência de Grimmer e Stewart (2013) de que métodos quantitativos e automatizados de análise de texto e de dados sociais devem ser entendidos como ampliação da capacidade analítica humana, e não como substituto do julgamento humano especializado — princípio metodológico que também orienta a presente pesquisa: o eventual modelo preditivo a ser desenvolvido tem como finalidade subsidiar, não substituir, a análise jurídica sobre a conveniência de ajuizar uma reclamação.</w:t>
      </w:r>
    </w:p>
    <w:p>
      <w:pPr>
        <w:pStyle w:val="Heading1"/>
        <w:spacing w:after="240" w:before="360"/>
        <w:jc w:val="left"/>
      </w:pPr>
      <w:r>
        <w:rPr>
          <w:rFonts w:ascii="Times New Roman" w:cs="Times New Roman" w:eastAsia="Times New Roman" w:hAnsi="Times New Roman"/>
          <w:b/>
          <w:bCs/>
          <w:sz w:val="28"/>
          <w:szCs w:val="28"/>
        </w:rPr>
        <w:t xml:space="preserve">4. REFERÊNCIAS BIBLIOGRÁFICAS</w:t>
      </w:r>
    </w:p>
    <w:p>
      <w:pPr>
        <w:spacing w:after="200" w:line="360"/>
        <w:ind w:hanging="720"/>
        <w:jc w:val="both"/>
      </w:pPr>
      <w:r>
        <w:rPr>
          <w:rFonts w:ascii="Times New Roman" w:cs="Times New Roman" w:eastAsia="Times New Roman" w:hAnsi="Times New Roman"/>
          <w:sz w:val="24"/>
          <w:szCs w:val="24"/>
        </w:rPr>
        <w:t xml:space="preserve">AGRESTI, Alan. An Introduction to Categorical Data Analysis. 3. ed. Hoboken: Wiley, 2018.</w:t>
      </w:r>
    </w:p>
    <w:p>
      <w:pPr>
        <w:spacing w:after="200" w:line="360"/>
        <w:ind w:hanging="720"/>
        <w:jc w:val="both"/>
      </w:pPr>
      <w:r>
        <w:rPr>
          <w:rFonts w:ascii="Times New Roman" w:cs="Times New Roman" w:eastAsia="Times New Roman" w:hAnsi="Times New Roman"/>
          <w:sz w:val="24"/>
          <w:szCs w:val="24"/>
        </w:rPr>
        <w:t xml:space="preserve">BREIMAN, Leo. Statistical Modeling: The Two Cultures (with comments and a rejoinder by the author). Statistical Science, v. 16, n. 3, p. 199–231, 2001.</w:t>
      </w:r>
    </w:p>
    <w:p>
      <w:pPr>
        <w:spacing w:after="200" w:line="360"/>
        <w:ind w:hanging="720"/>
        <w:jc w:val="both"/>
      </w:pPr>
      <w:r>
        <w:rPr>
          <w:rFonts w:ascii="Times New Roman" w:cs="Times New Roman" w:eastAsia="Times New Roman" w:hAnsi="Times New Roman"/>
          <w:sz w:val="24"/>
          <w:szCs w:val="24"/>
        </w:rPr>
        <w:t xml:space="preserve">FALCÃO, Joaquim; PEREIRA, Thomaz; ARGUELHES, Diego Werneck; RECONDO, Felipe. IV Relatório Supremo em Números: o Supremo e o Ministério Público. Rio de Janeiro: FGV Direito Rio, 2018.</w:t>
      </w:r>
    </w:p>
    <w:p>
      <w:pPr>
        <w:spacing w:after="200" w:line="360"/>
        <w:ind w:hanging="720"/>
        <w:jc w:val="both"/>
      </w:pPr>
      <w:r>
        <w:rPr>
          <w:rFonts w:ascii="Times New Roman" w:cs="Times New Roman" w:eastAsia="Times New Roman" w:hAnsi="Times New Roman"/>
          <w:sz w:val="24"/>
          <w:szCs w:val="24"/>
        </w:rPr>
        <w:t xml:space="preserve">GRIMMER, Justin; STEWART, Brandon M. Text as Data: The Promise and Pitfalls of Automatic Content Analysis Methods for Political Texts. Political Analysis, v. 21, n. 3, p. 267–297, 2013.</w:t>
      </w:r>
    </w:p>
    <w:p>
      <w:pPr>
        <w:spacing w:after="200" w:line="360"/>
        <w:ind w:hanging="720"/>
        <w:jc w:val="both"/>
      </w:pPr>
      <w:r>
        <w:rPr>
          <w:rFonts w:ascii="Times New Roman" w:cs="Times New Roman" w:eastAsia="Times New Roman" w:hAnsi="Times New Roman"/>
          <w:sz w:val="24"/>
          <w:szCs w:val="24"/>
        </w:rPr>
        <w:t xml:space="preserve">HOUAISS (PITELLI), Lívia Pitelli Zamarian. Reclamação constitucional e recalcitrância judicial na medida das decisões do Supremo Tribunal Federal. 2019. Tese (Doutorado em Ciências Jurídicas e Sociais) — Universidade Federal Fluminense, Niterói, 2019.</w:t>
      </w:r>
    </w:p>
    <w:p>
      <w:pPr>
        <w:spacing w:after="200" w:line="360"/>
        <w:ind w:hanging="720"/>
        <w:jc w:val="both"/>
      </w:pPr>
      <w:r>
        <w:rPr>
          <w:rFonts w:ascii="Times New Roman" w:cs="Times New Roman" w:eastAsia="Times New Roman" w:hAnsi="Times New Roman"/>
          <w:sz w:val="24"/>
          <w:szCs w:val="24"/>
        </w:rPr>
        <w:t xml:space="preserve">JESUS FILHO, José de. repotese: código e base de dados da tese de Lívia Houaiss. Repositório GitHub, 2019. Disponível em: https://github.com/jjesusfilho/repotese. Acesso em: 6 set. 2026.</w:t>
      </w:r>
    </w:p>
    <w:sectPr>
      <w:headerReference w:type="default" r:id="rId7"/>
      <w:footerReference w:type="default" r:id="rId8"/>
      <w:pgSz w:w="11906" w:h="16838" w:orient="portrait"/>
      <w:pgMar w:top="1701" w:right="1701" w:bottom="1701"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0"/>
        <w:szCs w:val="20"/>
      </w:rPr>
      <w:t xml:space="preserve">Projeto Parcial — Marcos Meira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2026-09-06T13:01:09.214Z</dcterms:created>
  <dcterms:modified xsi:type="dcterms:W3CDTF">2026-09-06T13:01:09.214Z</dcterms:modified>
</cp:coreProperties>
</file>

<file path=docProps/custom.xml><?xml version="1.0" encoding="utf-8"?>
<Properties xmlns="http://schemas.openxmlformats.org/officeDocument/2006/custom-properties" xmlns:vt="http://schemas.openxmlformats.org/officeDocument/2006/docPropsVTypes"/>
</file>