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rFonts w:ascii="Arial" w:cs="Arial" w:eastAsia="Arial" w:hAnsi="Arial"/>
          <w:b w:val="1"/>
          <w:bCs w:val="1"/>
        </w:rPr>
      </w:pPr>
      <w:r w:rsidDel="00000000" w:rsidR="00000000" w:rsidRPr="00000000">
        <w:rPr>
          <w:rFonts w:ascii="Arial" w:cs="Arial" w:eastAsia="Arial" w:hAnsi="Arial"/>
          <w:b w:val="1"/>
          <w:bCs w:val="1"/>
          <w:rtl w:val="0"/>
        </w:rPr>
        <w:t xml:space="preserve">Caso de Uso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after="200" w:lineRule="auto"/>
        <w:rPr>
          <w:rFonts w:ascii="Arial" w:cs="Arial" w:eastAsia="Arial" w:hAnsi="Arial"/>
          <w:sz w:val="22"/>
          <w:szCs w:val="22"/>
        </w:rPr>
      </w:pPr>
      <w:r w:rsidDel="00000000" w:rsidR="00000000" w:rsidRPr="00000000">
        <w:rPr>
          <w:rFonts w:ascii="Arial" w:cs="Arial" w:eastAsia="Arial" w:hAnsi="Arial"/>
          <w:b w:val="1"/>
          <w:bCs w:val="1"/>
          <w:color w:val="000000"/>
          <w:rtl w:val="0"/>
        </w:rPr>
        <w:t xml:space="preserve">CU-01 Registro de Caso</w:t>
      </w:r>
      <w:r w:rsidDel="00000000" w:rsidR="00000000" w:rsidRPr="00000000">
        <w:rPr>
          <w:rtl w:val="0"/>
        </w:rPr>
      </w:r>
    </w:p>
    <w:p w:rsidR="00000000" w:rsidDel="00000000" w:rsidP="00000000" w:rsidRDefault="00000000" w:rsidRPr="00000000" w14:paraId="00000004">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Versión 1.0</w:t>
      </w:r>
    </w:p>
    <w:p w:rsidR="00000000" w:rsidDel="00000000" w:rsidP="00000000" w:rsidRDefault="00000000" w:rsidRPr="00000000" w14:paraId="00000005">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Elaborado por: Marcos Emilio Lopez Chamale</w:t>
      </w:r>
    </w:p>
    <w:p w:rsidR="00000000" w:rsidDel="00000000" w:rsidP="00000000" w:rsidRDefault="00000000" w:rsidRPr="00000000" w14:paraId="00000006">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 Elaboración: 21/07/2026</w:t>
      </w:r>
    </w:p>
    <w:p w:rsidR="00000000" w:rsidDel="00000000" w:rsidP="00000000" w:rsidRDefault="00000000" w:rsidRPr="00000000" w14:paraId="00000007">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Historial Revisiones</w:t>
      </w:r>
    </w:p>
    <w:tbl>
      <w:tblPr>
        <w:tblStyle w:val="Table1"/>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20"/>
        <w:gridCol w:w="2820"/>
        <w:gridCol w:w="2385"/>
        <w:tblGridChange w:id="0">
          <w:tblGrid>
            <w:gridCol w:w="2400"/>
            <w:gridCol w:w="1920"/>
            <w:gridCol w:w="2820"/>
            <w:gridCol w:w="2385"/>
          </w:tblGrid>
        </w:tblGridChange>
      </w:tblGrid>
      <w:tr>
        <w:trPr>
          <w:cantSplit w:val="0"/>
          <w:tblHeader w:val="0"/>
        </w:trPr>
        <w:tc>
          <w:tcPr>
            <w:shd w:fill="ffffff" w:val="clear"/>
          </w:tcPr>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Nombre</w:t>
            </w:r>
            <w:r w:rsidDel="00000000" w:rsidR="00000000" w:rsidRPr="00000000">
              <w:rPr>
                <w:rtl w:val="0"/>
              </w:rPr>
            </w:r>
          </w:p>
        </w:tc>
        <w:tc>
          <w:tcPr>
            <w:shd w:fill="ffffff" w:val="clear"/>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Fecha</w:t>
            </w:r>
            <w:r w:rsidDel="00000000" w:rsidR="00000000" w:rsidRPr="00000000">
              <w:rPr>
                <w:rtl w:val="0"/>
              </w:rPr>
            </w:r>
          </w:p>
        </w:tc>
        <w:tc>
          <w:tcPr>
            <w:shd w:fill="ffffff" w:val="clear"/>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del Cambio</w:t>
            </w:r>
            <w:r w:rsidDel="00000000" w:rsidR="00000000" w:rsidRPr="00000000">
              <w:rPr>
                <w:rtl w:val="0"/>
              </w:rPr>
            </w:r>
          </w:p>
        </w:tc>
        <w:tc>
          <w:tcPr>
            <w:shd w:fill="ffffff" w:val="clear"/>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Versión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Marcos Lopez</w:t>
            </w:r>
            <w:r w:rsidDel="00000000" w:rsidR="00000000" w:rsidRPr="00000000">
              <w:rPr>
                <w:rtl w:val="0"/>
              </w:rPr>
            </w:r>
          </w:p>
        </w:tc>
        <w:tc>
          <w:tcPr>
            <w:shd w:fill="ffffff" w:val="clear"/>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21/07/2026</w:t>
            </w:r>
          </w:p>
        </w:tc>
        <w:tc>
          <w:tcPr>
            <w:shd w:fill="ffffff" w:val="clear"/>
          </w:tcPr>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Inicio</w:t>
            </w:r>
          </w:p>
        </w:tc>
        <w:tc>
          <w:tcPr>
            <w:shd w:fill="ffffff" w:val="clear"/>
          </w:tcPr>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bl>
    <w:p w:rsidR="00000000" w:rsidDel="00000000" w:rsidP="00000000" w:rsidRDefault="00000000" w:rsidRPr="00000000" w14:paraId="00000010">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Introducción</w:t>
      </w:r>
    </w:p>
    <w:p w:rsidR="00000000" w:rsidDel="00000000" w:rsidP="00000000" w:rsidRDefault="00000000" w:rsidRPr="00000000" w14:paraId="00000011">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describe el caso de uso para la funcionalidad de Registro de Caso en el Portal de Quejas Residencial. Permite que el Residente reporte un nuevo incidente, indicando su categoría, tipo, descripción y evidencia de soporte, quedando el caso disponible para su gestión posterior por parte del Analista.</w:t>
      </w:r>
    </w:p>
    <w:p w:rsidR="00000000" w:rsidDel="00000000" w:rsidP="00000000" w:rsidRDefault="00000000" w:rsidRPr="00000000" w14:paraId="00000012">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Objetivo</w:t>
      </w:r>
    </w:p>
    <w:p w:rsidR="00000000" w:rsidDel="00000000" w:rsidP="00000000" w:rsidRDefault="00000000" w:rsidRPr="00000000" w14:paraId="00000013">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Residente reportar un nuevo caso (queja, denuncia o sugerencia) de forma estructurada, asegurando que la información quede completa, notificada y registrada en bitácora para su trazabilidad.</w:t>
      </w:r>
    </w:p>
    <w:p w:rsidR="00000000" w:rsidDel="00000000" w:rsidP="00000000" w:rsidRDefault="00000000" w:rsidRPr="00000000" w14:paraId="00000014">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Definición caso de uso</w:t>
      </w:r>
    </w:p>
    <w:p w:rsidR="00000000" w:rsidDel="00000000" w:rsidP="00000000" w:rsidRDefault="00000000" w:rsidRPr="00000000" w14:paraId="00000015">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3.1 Actores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Portal web</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Residente</w:t>
      </w:r>
    </w:p>
    <w:p w:rsidR="00000000" w:rsidDel="00000000" w:rsidP="00000000" w:rsidRDefault="00000000" w:rsidRPr="00000000" w14:paraId="00000018">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3.2 Precondiciones</w:t>
      </w:r>
    </w:p>
    <w:p w:rsidR="00000000" w:rsidDel="00000000" w:rsidP="00000000" w:rsidRDefault="00000000" w:rsidRPr="00000000" w14:paraId="00000019">
      <w:pPr>
        <w:spacing w:after="12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Residente debe haber iniciado sesión en el portal (CU-00 Inicio de Sesión).</w:t>
      </w:r>
    </w:p>
    <w:p w:rsidR="00000000" w:rsidDel="00000000" w:rsidP="00000000" w:rsidRDefault="00000000" w:rsidRPr="00000000" w14:paraId="0000001A">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3.3 Flujo normal básico</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Residente selecciona la opción “</w:t>
      </w:r>
      <w:r w:rsidDel="00000000" w:rsidR="00000000" w:rsidRPr="00000000">
        <w:rPr>
          <w:rFonts w:ascii="Arial" w:cs="Arial" w:eastAsia="Arial" w:hAnsi="Arial"/>
          <w:sz w:val="22"/>
          <w:szCs w:val="22"/>
          <w:rtl w:val="0"/>
        </w:rPr>
        <w:t xml:space="preserve">Nuevo caso</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muestra el formulario de registro de caso con los campos: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Categoría del incidente (combobox)</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Tipo de incidente (combobox dependiente de la categoría seleccionada)</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Descripción del caso</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Opción “Adjuntar documentos, fotografías, audio o video”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FA1</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Residente completa los campos y presiona “Registrar caso”.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FA2</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valida la información ingresada.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FA3</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registra el caso, generando un número de caso único.</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registra el evento de creación del caso en la bitácora.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RN3</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envía una notificación interna y vía correo electrónico al Residente confirmando la creación del caso.</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muestra un mensaje de éxito indicando el número de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caso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generado</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27">
      <w:pPr>
        <w:numPr>
          <w:ilvl w:val="0"/>
          <w:numId w:val="2"/>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 del caso de uso.</w:t>
      </w:r>
    </w:p>
    <w:p w:rsidR="00000000" w:rsidDel="00000000" w:rsidP="00000000" w:rsidRDefault="00000000" w:rsidRPr="00000000" w14:paraId="00000028">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3.4 </w:t>
      </w:r>
      <w:r w:rsidDel="00000000" w:rsidR="00000000" w:rsidRPr="00000000">
        <w:rPr>
          <w:rFonts w:ascii="Arial" w:cs="Arial" w:eastAsia="Arial" w:hAnsi="Arial"/>
          <w:b w:val="1"/>
          <w:bCs w:val="1"/>
          <w:color w:val="000000"/>
          <w:rtl w:val="0"/>
        </w:rPr>
        <w:t xml:space="preserve">Flujos alternos</w:t>
      </w:r>
    </w:p>
    <w:p w:rsidR="00000000" w:rsidDel="00000000" w:rsidP="00000000" w:rsidRDefault="00000000" w:rsidRPr="00000000" w14:paraId="00000029">
      <w:pPr>
        <w:numPr>
          <w:ilvl w:val="0"/>
          <w:numId w:val="1"/>
        </w:numPr>
        <w:spacing w:after="0" w:afterAutospacing="0" w:lineRule="auto"/>
        <w:ind w:left="144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FA1 - Adjuntar documentación de soporte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Residente selecciona la opción “Adjuntar documentos, fotografías, audio o video”.</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ejecuta el caso de uso CU-02 Adjuntar Documentación de Soporte.</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Sistema retorna al paso 2 del flujo básico con los archivos adjuntos asociados al formulario.</w:t>
      </w:r>
    </w:p>
    <w:p w:rsidR="00000000" w:rsidDel="00000000" w:rsidP="00000000" w:rsidRDefault="00000000" w:rsidRPr="00000000" w14:paraId="0000002D">
      <w:pPr>
        <w:numPr>
          <w:ilvl w:val="0"/>
          <w:numId w:val="7"/>
        </w:numPr>
        <w:spacing w:after="0" w:afterAutospacing="0" w:lineRule="auto"/>
        <w:ind w:left="144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FA2 - Cancelar registro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Residente presiona el botón “Cancelar”.</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descarta la información ingresada y retorna a la pantalla principal del Residente.</w:t>
      </w:r>
    </w:p>
    <w:p w:rsidR="00000000" w:rsidDel="00000000" w:rsidP="00000000" w:rsidRDefault="00000000" w:rsidRPr="00000000" w14:paraId="00000030">
      <w:pPr>
        <w:numPr>
          <w:ilvl w:val="0"/>
          <w:numId w:val="6"/>
        </w:numPr>
        <w:spacing w:after="0" w:afterAutospacing="0" w:lineRule="auto"/>
        <w:ind w:left="144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FA3 - Datos incompletos o inválidos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muestra un mensaje de error indicando los campos faltantes o con formato inválido.</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Sistema retorna al paso 3 del flujo básico.</w:t>
      </w:r>
    </w:p>
    <w:p w:rsidR="00000000" w:rsidDel="00000000" w:rsidP="00000000" w:rsidRDefault="00000000" w:rsidRPr="00000000" w14:paraId="00000033">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3.5 </w:t>
      </w:r>
      <w:r w:rsidDel="00000000" w:rsidR="00000000" w:rsidRPr="00000000">
        <w:rPr>
          <w:rFonts w:ascii="Arial" w:cs="Arial" w:eastAsia="Arial" w:hAnsi="Arial"/>
          <w:b w:val="1"/>
          <w:bCs w:val="1"/>
          <w:color w:val="000000"/>
          <w:rtl w:val="0"/>
        </w:rPr>
        <w:t xml:space="preserve">Post-condición</w:t>
      </w:r>
      <w:r w:rsidDel="00000000" w:rsidR="00000000" w:rsidRPr="00000000">
        <w:rPr>
          <w:rtl w:val="0"/>
        </w:rPr>
      </w:r>
    </w:p>
    <w:p w:rsidR="00000000" w:rsidDel="00000000" w:rsidP="00000000" w:rsidRDefault="00000000" w:rsidRPr="00000000" w14:paraId="00000034">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caso queda registrado en estado “Nuevo”, visible en la bandeja del Analista para su evaluación y el evento de creación queda registrado en bitácora.</w:t>
      </w:r>
    </w:p>
    <w:p w:rsidR="00000000" w:rsidDel="00000000" w:rsidP="00000000" w:rsidRDefault="00000000" w:rsidRPr="00000000" w14:paraId="00000035">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w:t>
      </w:r>
      <w:r w:rsidDel="00000000" w:rsidR="00000000" w:rsidRPr="00000000">
        <w:rPr>
          <w:rFonts w:ascii="Arial" w:cs="Arial" w:eastAsia="Arial" w:hAnsi="Arial"/>
          <w:b w:val="1"/>
          <w:bCs w:val="1"/>
          <w:color w:val="000000"/>
          <w:rtl w:val="0"/>
        </w:rPr>
        <w:t xml:space="preserve">REGLAS DE NEGOCIO (RN) Y ANEXOS (AN)</w:t>
      </w:r>
    </w:p>
    <w:p w:rsidR="00000000" w:rsidDel="00000000" w:rsidP="00000000" w:rsidRDefault="00000000" w:rsidRPr="00000000" w14:paraId="00000036">
      <w:pPr>
        <w:spacing w:after="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RN1 - Catálogo de categorías y tipos de incidente cargados en caché</w:t>
      </w:r>
      <w:r w:rsidDel="00000000" w:rsidR="00000000" w:rsidRPr="00000000">
        <w:rPr>
          <w:rtl w:val="0"/>
        </w:rPr>
      </w:r>
    </w:p>
    <w:p w:rsidR="00000000" w:rsidDel="00000000" w:rsidP="00000000" w:rsidRDefault="00000000" w:rsidRPr="00000000" w14:paraId="00000037">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sugiere un catálogo agrupado en las categorías: Convivencia/Reglamento, Seguridad, Mantenimiento/Infraestructura y Administrativo/Construcción, cada una con sus tipos de incidente específicos.</w:t>
      </w:r>
    </w:p>
    <w:p w:rsidR="00000000" w:rsidDel="00000000" w:rsidP="00000000" w:rsidRDefault="00000000" w:rsidRPr="00000000" w14:paraId="00000038">
      <w:pPr>
        <w:spacing w:after="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RN2 - Notificación de creación de caso</w:t>
      </w:r>
      <w:r w:rsidDel="00000000" w:rsidR="00000000" w:rsidRPr="00000000">
        <w:rPr>
          <w:rtl w:val="0"/>
        </w:rPr>
      </w:r>
    </w:p>
    <w:p w:rsidR="00000000" w:rsidDel="00000000" w:rsidP="00000000" w:rsidRDefault="00000000" w:rsidRPr="00000000" w14:paraId="00000039">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 registrarse un caso nuevo, el sistema debe generar una alerta interna y un correo electrónico dirigidos al Residente que lo reportó, confirmando el registro.</w:t>
      </w:r>
    </w:p>
    <w:p w:rsidR="00000000" w:rsidDel="00000000" w:rsidP="00000000" w:rsidRDefault="00000000" w:rsidRPr="00000000" w14:paraId="0000003A">
      <w:pPr>
        <w:spacing w:after="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RN3 - Registro en bitácora</w:t>
      </w:r>
      <w:r w:rsidDel="00000000" w:rsidR="00000000" w:rsidRPr="00000000">
        <w:rPr>
          <w:rtl w:val="0"/>
        </w:rPr>
      </w:r>
    </w:p>
    <w:p w:rsidR="00000000" w:rsidDel="00000000" w:rsidP="00000000" w:rsidRDefault="00000000" w:rsidRPr="00000000" w14:paraId="0000003B">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Todo evento relacionado con la creación del caso, incluyendo la carga archivos adjuntos, debe quedar registrado en la bitácora del sistema.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tf5dzplT6BVVk6CNLr2cUNzdQ==">CgMxLjA4AHIhMVJVaks1RnQwOG5mSjhVTjdYNUxvbGxYaXVlTzJwanhU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