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rFonts w:ascii="Arial" w:cs="Arial" w:eastAsia="Arial" w:hAnsi="Arial"/>
          <w:b w:val="1"/>
          <w:bCs w:val="1"/>
        </w:rPr>
      </w:pPr>
      <w:r w:rsidDel="00000000" w:rsidR="00000000" w:rsidRPr="00000000">
        <w:rPr>
          <w:rFonts w:ascii="Arial" w:cs="Arial" w:eastAsia="Arial" w:hAnsi="Arial"/>
          <w:b w:val="1"/>
          <w:bCs w:val="1"/>
          <w:rtl w:val="0"/>
        </w:rPr>
        <w:t xml:space="preserve">Caso de Uso</w:t>
      </w:r>
    </w:p>
    <w:p w:rsidR="00000000" w:rsidDel="00000000" w:rsidP="00000000" w:rsidRDefault="00000000" w:rsidRPr="00000000" w14:paraId="00000002">
      <w:pPr>
        <w:pStyle w:val="Heading1"/>
        <w:spacing w:after="2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CU-15 Registrar en Bitácora</w:t>
      </w:r>
    </w:p>
    <w:p w:rsidR="00000000" w:rsidDel="00000000" w:rsidP="00000000" w:rsidRDefault="00000000" w:rsidRPr="00000000" w14:paraId="00000003">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Versión 1.0</w:t>
      </w:r>
    </w:p>
    <w:p w:rsidR="00000000" w:rsidDel="00000000" w:rsidP="00000000" w:rsidRDefault="00000000" w:rsidRPr="00000000" w14:paraId="00000005">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Elaborado por: Marcos Emilio Lopez Chamale</w:t>
      </w:r>
    </w:p>
    <w:p w:rsidR="00000000" w:rsidDel="00000000" w:rsidP="00000000" w:rsidRDefault="00000000" w:rsidRPr="00000000" w14:paraId="00000006">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Fecha Elaboración: 30/07/2026</w:t>
      </w:r>
    </w:p>
    <w:p w:rsidR="00000000" w:rsidDel="00000000" w:rsidP="00000000" w:rsidRDefault="00000000" w:rsidRPr="00000000" w14:paraId="00000007">
      <w:pPr>
        <w:pStyle w:val="Heading2"/>
        <w:spacing w:after="100" w:before="200" w:lineRule="auto"/>
        <w:rPr>
          <w:rFonts w:ascii="Arial" w:cs="Arial" w:eastAsia="Arial" w:hAnsi="Arial"/>
          <w:color w:val="000000"/>
        </w:rPr>
      </w:pPr>
      <w:r w:rsidDel="00000000" w:rsidR="00000000" w:rsidRPr="00000000">
        <w:rPr>
          <w:rFonts w:ascii="Arial" w:cs="Arial" w:eastAsia="Arial" w:hAnsi="Arial"/>
          <w:color w:val="000000"/>
          <w:rtl w:val="0"/>
        </w:rPr>
        <w:t xml:space="preserve">Historial Revisiones</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2250"/>
        <w:gridCol w:w="2250"/>
        <w:gridCol w:w="2250"/>
        <w:tblGridChange w:id="0">
          <w:tblGrid>
            <w:gridCol w:w="2250"/>
            <w:gridCol w:w="2250"/>
            <w:gridCol w:w="2250"/>
            <w:gridCol w:w="2250"/>
          </w:tblGrid>
        </w:tblGridChange>
      </w:tblGrid>
      <w:tr>
        <w:trPr>
          <w:cantSplit w:val="0"/>
          <w:tblHeader w:val="0"/>
        </w:trPr>
        <w:tc>
          <w:tcPr>
            <w:shd w:fill="d9d9d9" w:val="clear"/>
          </w:tcPr>
          <w:p w:rsidR="00000000" w:rsidDel="00000000" w:rsidP="00000000" w:rsidRDefault="00000000" w:rsidRPr="00000000" w14:paraId="00000008">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Nombre</w:t>
            </w:r>
            <w:r w:rsidDel="00000000" w:rsidR="00000000" w:rsidRPr="00000000">
              <w:rPr>
                <w:rtl w:val="0"/>
              </w:rPr>
            </w:r>
          </w:p>
        </w:tc>
        <w:tc>
          <w:tcPr>
            <w:shd w:fill="d9d9d9" w:val="clear"/>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Fecha</w:t>
            </w:r>
            <w:r w:rsidDel="00000000" w:rsidR="00000000" w:rsidRPr="00000000">
              <w:rPr>
                <w:rtl w:val="0"/>
              </w:rPr>
            </w:r>
          </w:p>
        </w:tc>
        <w:tc>
          <w:tcPr>
            <w:shd w:fill="d9d9d9" w:val="clear"/>
          </w:tcPr>
          <w:p w:rsidR="00000000" w:rsidDel="00000000" w:rsidP="00000000" w:rsidRDefault="00000000" w:rsidRPr="00000000" w14:paraId="0000000A">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Descripción del Cambio</w:t>
            </w:r>
            <w:r w:rsidDel="00000000" w:rsidR="00000000" w:rsidRPr="00000000">
              <w:rPr>
                <w:rtl w:val="0"/>
              </w:rPr>
            </w:r>
          </w:p>
        </w:tc>
        <w:tc>
          <w:tcPr>
            <w:shd w:fill="d9d9d9" w:val="clear"/>
          </w:tcPr>
          <w:p w:rsidR="00000000" w:rsidDel="00000000" w:rsidP="00000000" w:rsidRDefault="00000000" w:rsidRPr="00000000" w14:paraId="0000000B">
            <w:pP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Versión</w:t>
            </w:r>
            <w:r w:rsidDel="00000000" w:rsidR="00000000" w:rsidRPr="00000000">
              <w:rPr>
                <w:rtl w:val="0"/>
              </w:rPr>
            </w:r>
          </w:p>
        </w:tc>
      </w:tr>
      <w:tr>
        <w:trPr>
          <w:cantSplit w:val="0"/>
          <w:tblHeader w:val="0"/>
        </w:trPr>
        <w:tc>
          <w:tcPr/>
          <w:p w:rsidR="00000000" w:rsidDel="00000000" w:rsidP="00000000" w:rsidRDefault="00000000" w:rsidRPr="00000000" w14:paraId="0000000C">
            <w:pPr>
              <w:rPr>
                <w:rFonts w:ascii="Arial" w:cs="Arial" w:eastAsia="Arial" w:hAnsi="Arial"/>
                <w:sz w:val="22"/>
                <w:szCs w:val="22"/>
              </w:rPr>
            </w:pPr>
            <w:r w:rsidDel="00000000" w:rsidR="00000000" w:rsidRPr="00000000">
              <w:rPr>
                <w:rFonts w:ascii="Arial" w:cs="Arial" w:eastAsia="Arial" w:hAnsi="Arial"/>
                <w:sz w:val="22"/>
                <w:szCs w:val="22"/>
                <w:rtl w:val="0"/>
              </w:rPr>
              <w:t xml:space="preserve">Marcos Lopez</w:t>
            </w:r>
            <w:r w:rsidDel="00000000" w:rsidR="00000000" w:rsidRPr="00000000">
              <w:rPr>
                <w:rtl w:val="0"/>
              </w:rPr>
            </w:r>
          </w:p>
        </w:tc>
        <w:tc>
          <w:tcPr/>
          <w:p w:rsidR="00000000" w:rsidDel="00000000" w:rsidP="00000000" w:rsidRDefault="00000000" w:rsidRPr="00000000" w14:paraId="0000000D">
            <w:pPr>
              <w:rPr>
                <w:rFonts w:ascii="Arial" w:cs="Arial" w:eastAsia="Arial" w:hAnsi="Arial"/>
                <w:sz w:val="22"/>
                <w:szCs w:val="22"/>
              </w:rPr>
            </w:pPr>
            <w:r w:rsidDel="00000000" w:rsidR="00000000" w:rsidRPr="00000000">
              <w:rPr>
                <w:rFonts w:ascii="Arial" w:cs="Arial" w:eastAsia="Arial" w:hAnsi="Arial"/>
                <w:sz w:val="22"/>
                <w:szCs w:val="22"/>
                <w:rtl w:val="0"/>
              </w:rPr>
              <w:t xml:space="preserve">30/07/2026</w:t>
            </w:r>
          </w:p>
        </w:tc>
        <w:tc>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Inicio</w:t>
            </w:r>
          </w:p>
        </w:tc>
        <w:tc>
          <w:tcPr/>
          <w:p w:rsidR="00000000" w:rsidDel="00000000" w:rsidP="00000000" w:rsidRDefault="00000000" w:rsidRPr="00000000" w14:paraId="0000000F">
            <w:pP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bl>
    <w:p w:rsidR="00000000" w:rsidDel="00000000" w:rsidP="00000000" w:rsidRDefault="00000000" w:rsidRPr="00000000" w14:paraId="00000010">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1. Introducción</w:t>
      </w:r>
    </w:p>
    <w:p w:rsidR="00000000" w:rsidDel="00000000" w:rsidP="00000000" w:rsidRDefault="00000000" w:rsidRPr="00000000" w14:paraId="00000011">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Este documento describe el caso de uso para el Registro en Bitácora del Portal de Quejas Residencial. Se ejecuta automáticamente, invocado de forma transversal por otros casos de uso que generan eventos auditables.</w:t>
      </w:r>
    </w:p>
    <w:p w:rsidR="00000000" w:rsidDel="00000000" w:rsidP="00000000" w:rsidRDefault="00000000" w:rsidRPr="00000000" w14:paraId="00000012">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2. Objetivo</w:t>
      </w:r>
    </w:p>
    <w:p w:rsidR="00000000" w:rsidDel="00000000" w:rsidP="00000000" w:rsidRDefault="00000000" w:rsidRPr="00000000" w14:paraId="00000013">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Capturar y almacenar de forma inmutable la evidencia de los eventos auditables del sistema, garantizando trazabilidad y control.</w:t>
      </w:r>
    </w:p>
    <w:p w:rsidR="00000000" w:rsidDel="00000000" w:rsidP="00000000" w:rsidRDefault="00000000" w:rsidRPr="00000000" w14:paraId="00000014">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 Definición caso de uso</w:t>
      </w:r>
    </w:p>
    <w:p w:rsidR="00000000" w:rsidDel="00000000" w:rsidP="00000000" w:rsidRDefault="00000000" w:rsidRPr="00000000" w14:paraId="00000015">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3.1 Actores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Portal web</w:t>
      </w:r>
      <w:r w:rsidDel="00000000" w:rsidR="00000000" w:rsidRPr="00000000">
        <w:rPr>
          <w:rtl w:val="0"/>
        </w:rPr>
      </w:r>
    </w:p>
    <w:p w:rsidR="00000000" w:rsidDel="00000000" w:rsidP="00000000" w:rsidRDefault="00000000" w:rsidRPr="00000000" w14:paraId="00000017">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3.2 </w:t>
      </w:r>
      <w:r w:rsidDel="00000000" w:rsidR="00000000" w:rsidRPr="00000000">
        <w:rPr>
          <w:rFonts w:ascii="Arial" w:cs="Arial" w:eastAsia="Arial" w:hAnsi="Arial"/>
          <w:b w:val="1"/>
          <w:bCs w:val="1"/>
          <w:color w:val="000000"/>
          <w:rtl w:val="0"/>
        </w:rPr>
        <w:t xml:space="preserve">Precondiciones</w:t>
      </w:r>
    </w:p>
    <w:p w:rsidR="00000000" w:rsidDel="00000000" w:rsidP="00000000" w:rsidRDefault="00000000" w:rsidRPr="00000000" w14:paraId="00000018">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Debe producirse en el sistema uno de los eventos auditables, disparado desde el caso de uso que lo invoca:</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Inicio o cierre de sesión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Creación, modificación o cierre de un caso</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Cambios de usuarios y permisos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Carga o descarga de documentos</w:t>
      </w:r>
    </w:p>
    <w:p w:rsidR="00000000" w:rsidDel="00000000" w:rsidP="00000000" w:rsidRDefault="00000000" w:rsidRPr="00000000" w14:paraId="0000001D">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3.3 </w:t>
      </w:r>
      <w:r w:rsidDel="00000000" w:rsidR="00000000" w:rsidRPr="00000000">
        <w:rPr>
          <w:rFonts w:ascii="Arial" w:cs="Arial" w:eastAsia="Arial" w:hAnsi="Arial"/>
          <w:b w:val="1"/>
          <w:bCs w:val="1"/>
          <w:color w:val="000000"/>
          <w:rtl w:val="0"/>
        </w:rPr>
        <w:t xml:space="preserve">Flujo normal básico</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Se produce un evento auditable en el sistema, disparado por el caso de uso que lo invoca.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RN3</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captura los datos del evento: usuario, fecha, hora, dirección IP y descripción del evento.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RN</w:t>
      </w:r>
      <w:r w:rsidDel="00000000" w:rsidR="00000000" w:rsidRPr="00000000">
        <w:rPr>
          <w:rFonts w:ascii="Arial" w:cs="Arial" w:eastAsia="Arial" w:hAnsi="Arial"/>
          <w:b w:val="1"/>
          <w:bCs w:val="1"/>
          <w:sz w:val="22"/>
          <w:szCs w:val="22"/>
          <w:rtl w:val="0"/>
        </w:rPr>
        <w:t xml:space="preserve">2</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construye el registro de bitácora con la información capturada.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RN4</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almacena el registro de forma permanente e inmutable, sin posibilidad de edición o eliminación posterior. </w:t>
      </w:r>
      <w:r w:rsidDel="00000000" w:rsidR="00000000" w:rsidRPr="00000000">
        <w:rPr>
          <w:rFonts w:ascii="Arial" w:cs="Arial" w:eastAsia="Arial" w:hAnsi="Arial"/>
          <w:b w:val="1"/>
          <w:bCs w:val="1"/>
          <w:i w:val="0"/>
          <w:iCs w:val="0"/>
          <w:smallCaps w:val="0"/>
          <w:strike w:val="0"/>
          <w:sz w:val="22"/>
          <w:szCs w:val="22"/>
          <w:u w:val="none"/>
          <w:shd w:fill="auto" w:val="clear"/>
          <w:vertAlign w:val="baseline"/>
          <w:rtl w:val="0"/>
        </w:rPr>
        <w:t xml:space="preserve">RN1</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El sistema retorna el control al caso de uso que lo invocó.</w:t>
      </w:r>
    </w:p>
    <w:p w:rsidR="00000000" w:rsidDel="00000000" w:rsidP="00000000" w:rsidRDefault="00000000" w:rsidRPr="00000000" w14:paraId="00000023">
      <w:pPr>
        <w:numPr>
          <w:ilvl w:val="0"/>
          <w:numId w:val="5"/>
        </w:numPr>
        <w:spacing w:after="120"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Fin del caso de uso.</w:t>
      </w:r>
      <w:r w:rsidDel="00000000" w:rsidR="00000000" w:rsidRPr="00000000">
        <w:rPr>
          <w:rtl w:val="0"/>
        </w:rPr>
      </w:r>
    </w:p>
    <w:p w:rsidR="00000000" w:rsidDel="00000000" w:rsidP="00000000" w:rsidRDefault="00000000" w:rsidRPr="00000000" w14:paraId="00000024">
      <w:pPr>
        <w:pStyle w:val="Heading2"/>
        <w:spacing w:after="100" w:before="200" w:lineRule="auto"/>
        <w:ind w:firstLine="720"/>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3.4 </w:t>
      </w:r>
      <w:r w:rsidDel="00000000" w:rsidR="00000000" w:rsidRPr="00000000">
        <w:rPr>
          <w:rFonts w:ascii="Arial" w:cs="Arial" w:eastAsia="Arial" w:hAnsi="Arial"/>
          <w:b w:val="1"/>
          <w:bCs w:val="1"/>
          <w:color w:val="000000"/>
          <w:rtl w:val="0"/>
        </w:rPr>
        <w:t xml:space="preserve">Post-condición</w:t>
      </w:r>
      <w:r w:rsidDel="00000000" w:rsidR="00000000" w:rsidRPr="00000000">
        <w:rPr>
          <w:rtl w:val="0"/>
        </w:rPr>
      </w:r>
    </w:p>
    <w:p w:rsidR="00000000" w:rsidDel="00000000" w:rsidP="00000000" w:rsidRDefault="00000000" w:rsidRPr="00000000" w14:paraId="00000025">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 evento queda almacenado de forma permanente e inmutable en la bitácora, disponible para su consulta  y para la generación de reportes de auditoría.</w:t>
      </w:r>
    </w:p>
    <w:p w:rsidR="00000000" w:rsidDel="00000000" w:rsidP="00000000" w:rsidRDefault="00000000" w:rsidRPr="00000000" w14:paraId="00000026">
      <w:pPr>
        <w:pStyle w:val="Heading1"/>
        <w:spacing w:after="120" w:before="24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4. </w:t>
      </w:r>
      <w:r w:rsidDel="00000000" w:rsidR="00000000" w:rsidRPr="00000000">
        <w:rPr>
          <w:rFonts w:ascii="Arial" w:cs="Arial" w:eastAsia="Arial" w:hAnsi="Arial"/>
          <w:b w:val="1"/>
          <w:bCs w:val="1"/>
          <w:color w:val="000000"/>
          <w:rtl w:val="0"/>
        </w:rPr>
        <w:t xml:space="preserve">REGLAS DE NEGOCIO (RN) Y ANEXOS (AN)</w:t>
      </w:r>
    </w:p>
    <w:p w:rsidR="00000000" w:rsidDel="00000000" w:rsidP="00000000" w:rsidRDefault="00000000" w:rsidRPr="00000000" w14:paraId="00000027">
      <w:pPr>
        <w:numPr>
          <w:ilvl w:val="0"/>
          <w:numId w:val="4"/>
        </w:numPr>
        <w:spacing w:after="12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RN1 - Inmutabilidad de la bitácora</w:t>
      </w:r>
      <w:r w:rsidDel="00000000" w:rsidR="00000000" w:rsidRPr="00000000">
        <w:rPr>
          <w:rtl w:val="0"/>
        </w:rPr>
      </w:r>
    </w:p>
    <w:p w:rsidR="00000000" w:rsidDel="00000000" w:rsidP="00000000" w:rsidRDefault="00000000" w:rsidRPr="00000000" w14:paraId="00000028">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Ningún usuario, incluyendo perfiles administrativos, debe tener la capacidad de editar o eliminar un registro de bitácora ya almacenado.</w:t>
      </w:r>
    </w:p>
    <w:p w:rsidR="00000000" w:rsidDel="00000000" w:rsidP="00000000" w:rsidRDefault="00000000" w:rsidRPr="00000000" w14:paraId="00000029">
      <w:pPr>
        <w:numPr>
          <w:ilvl w:val="0"/>
          <w:numId w:val="1"/>
        </w:numPr>
        <w:spacing w:after="12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RN2 - Campos obligatorios del registro</w:t>
      </w:r>
      <w:r w:rsidDel="00000000" w:rsidR="00000000" w:rsidRPr="00000000">
        <w:rPr>
          <w:rtl w:val="0"/>
        </w:rPr>
      </w:r>
    </w:p>
    <w:p w:rsidR="00000000" w:rsidDel="00000000" w:rsidP="00000000" w:rsidRDefault="00000000" w:rsidRPr="00000000" w14:paraId="0000002A">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Todo registro de bitácora debe capturar como mínimo: usuario, fecha, hora, dirección IP y descripción del evento.</w:t>
      </w:r>
    </w:p>
    <w:p w:rsidR="00000000" w:rsidDel="00000000" w:rsidP="00000000" w:rsidRDefault="00000000" w:rsidRPr="00000000" w14:paraId="0000002B">
      <w:pPr>
        <w:numPr>
          <w:ilvl w:val="0"/>
          <w:numId w:val="6"/>
        </w:numPr>
        <w:spacing w:after="0" w:afterAutospacing="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RN3 - Eventos que deben quedar registrados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Inicios y cierres de sesión</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Creación, modificación y cierre de casos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Cambios de usuarios y permisos</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rFonts w:ascii="Arial" w:cs="Arial" w:eastAsia="Arial" w:hAnsi="Arial"/>
          <w:sz w:val="22"/>
          <w:szCs w:val="22"/>
        </w:rPr>
      </w:pPr>
      <w:r w:rsidDel="00000000" w:rsidR="00000000" w:rsidRPr="00000000">
        <w:rPr>
          <w:rFonts w:ascii="Arial" w:cs="Arial" w:eastAsia="Arial" w:hAnsi="Arial"/>
          <w:i w:val="0"/>
          <w:iCs w:val="0"/>
          <w:smallCaps w:val="0"/>
          <w:strike w:val="0"/>
          <w:sz w:val="22"/>
          <w:szCs w:val="22"/>
          <w:u w:val="none"/>
          <w:shd w:fill="auto" w:val="clear"/>
          <w:vertAlign w:val="baseline"/>
          <w:rtl w:val="0"/>
        </w:rPr>
        <w:t xml:space="preserve">Carga y descarga de documentos</w:t>
      </w:r>
    </w:p>
    <w:p w:rsidR="00000000" w:rsidDel="00000000" w:rsidP="00000000" w:rsidRDefault="00000000" w:rsidRPr="00000000" w14:paraId="00000030">
      <w:pPr>
        <w:numPr>
          <w:ilvl w:val="0"/>
          <w:numId w:val="2"/>
        </w:numPr>
        <w:spacing w:after="120" w:lineRule="auto"/>
        <w:ind w:left="720" w:hanging="360"/>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RN4 - Disponibilidad para auditoría</w:t>
      </w:r>
      <w:r w:rsidDel="00000000" w:rsidR="00000000" w:rsidRPr="00000000">
        <w:rPr>
          <w:rtl w:val="0"/>
        </w:rPr>
      </w:r>
    </w:p>
    <w:p w:rsidR="00000000" w:rsidDel="00000000" w:rsidP="00000000" w:rsidRDefault="00000000" w:rsidRPr="00000000" w14:paraId="00000031">
      <w:pPr>
        <w:spacing w:after="12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Los registros de bitácora deben estar disponibles para su consulta y para la generación de reportes de auditoría.</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278ZcJVJWT2yOIoGLEF+qzmUmQ==">CgMxLjA4AHIhMUEwYzZFWk13bVZYay0yZkJVcmppVWpVdEpYay14dW9I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