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6CCD" w14:textId="77777777" w:rsidR="0019509D" w:rsidRPr="00DC35A1" w:rsidRDefault="0019509D" w:rsidP="0019509D">
      <w:pPr>
        <w:pStyle w:val="Ttulo"/>
      </w:pPr>
      <w:r w:rsidRPr="00DC35A1">
        <w:t>Social media exposure and behavioral modeling in functional tic-like behaviors among adolescents and young adults since 2020: a scoping review protocol</w:t>
      </w:r>
    </w:p>
    <w:p w14:paraId="3221DF79" w14:textId="77777777" w:rsidR="0019509D" w:rsidRPr="00DC35A1" w:rsidRDefault="0019509D" w:rsidP="0019509D">
      <w:pPr>
        <w:pStyle w:val="Ttulo1"/>
      </w:pPr>
      <w:r w:rsidRPr="00DC35A1">
        <w:t>Authors and affiliations</w:t>
      </w:r>
    </w:p>
    <w:p w14:paraId="5886E71E" w14:textId="77777777" w:rsidR="0019509D" w:rsidRPr="00DC35A1" w:rsidRDefault="0019509D" w:rsidP="0019509D">
      <w:pPr>
        <w:rPr>
          <w:b/>
          <w:bCs/>
          <w:vertAlign w:val="superscript"/>
        </w:rPr>
      </w:pPr>
      <w:r w:rsidRPr="00DC35A1">
        <w:t>Karina Godoy Tamayo</w:t>
      </w:r>
      <w:r w:rsidRPr="00DC35A1">
        <w:rPr>
          <w:b/>
          <w:bCs/>
          <w:vertAlign w:val="superscript"/>
        </w:rPr>
        <w:t>1</w:t>
      </w:r>
      <w:r w:rsidRPr="00DC35A1">
        <w:t>; Mauricio Lopez-Espejo</w:t>
      </w:r>
      <w:r w:rsidRPr="00DC35A1">
        <w:rPr>
          <w:b/>
          <w:bCs/>
          <w:vertAlign w:val="superscript"/>
        </w:rPr>
        <w:t>1,2</w:t>
      </w:r>
    </w:p>
    <w:p w14:paraId="4A5D52A6" w14:textId="77777777" w:rsidR="0019509D" w:rsidRPr="00DC35A1" w:rsidRDefault="0019509D" w:rsidP="0019509D">
      <w:pPr>
        <w:pStyle w:val="Prrafodelista"/>
        <w:numPr>
          <w:ilvl w:val="0"/>
          <w:numId w:val="1"/>
        </w:numPr>
      </w:pPr>
      <w:r w:rsidRPr="00DC35A1">
        <w:t>Section of Pediatric Neurology, Division of Pediatrics, School of Medicine. Pontificia Universidad Católica de Chile, Santiago, Chile.</w:t>
      </w:r>
    </w:p>
    <w:p w14:paraId="79388198" w14:textId="77777777" w:rsidR="0019509D" w:rsidRPr="00DC35A1" w:rsidRDefault="0019509D" w:rsidP="0019509D">
      <w:pPr>
        <w:pStyle w:val="Prrafodelista"/>
        <w:numPr>
          <w:ilvl w:val="0"/>
          <w:numId w:val="1"/>
        </w:numPr>
      </w:pPr>
      <w:r w:rsidRPr="00DC35A1">
        <w:t>Neurodevelopment Unit. UC CHRISTUS Health Network, Santiago, Chile.</w:t>
      </w:r>
    </w:p>
    <w:p w14:paraId="07D09584" w14:textId="77777777" w:rsidR="0019509D" w:rsidRPr="00DC35A1" w:rsidRDefault="0019509D" w:rsidP="0019509D">
      <w:r w:rsidRPr="00DC35A1">
        <w:rPr>
          <w:b/>
          <w:bCs/>
        </w:rPr>
        <w:t>Corresponding author</w:t>
      </w:r>
      <w:r w:rsidRPr="00DC35A1">
        <w:t xml:space="preserve">: Mauricio Lopez-Espejo. Email: </w:t>
      </w:r>
      <w:hyperlink r:id="rId7" w:history="1">
        <w:r w:rsidRPr="00DC35A1">
          <w:rPr>
            <w:rStyle w:val="Hipervnculo"/>
          </w:rPr>
          <w:t>malopez5@uc.cl</w:t>
        </w:r>
      </w:hyperlink>
    </w:p>
    <w:p w14:paraId="68048EA4" w14:textId="77777777" w:rsidR="0019509D" w:rsidRPr="00DC35A1" w:rsidRDefault="0019509D" w:rsidP="0019509D"/>
    <w:p w14:paraId="11E1116F" w14:textId="77777777" w:rsidR="0019509D" w:rsidRPr="00DC35A1" w:rsidRDefault="0019509D" w:rsidP="0019509D">
      <w:pPr>
        <w:pStyle w:val="Ttulo1"/>
      </w:pPr>
      <w:r w:rsidRPr="00DC35A1">
        <w:t>Abstract</w:t>
      </w:r>
    </w:p>
    <w:p w14:paraId="0266795D" w14:textId="77777777" w:rsidR="0019509D" w:rsidRPr="00DC35A1" w:rsidRDefault="0019509D" w:rsidP="0019509D">
      <w:r w:rsidRPr="00DC35A1">
        <w:rPr>
          <w:i/>
          <w:iCs/>
        </w:rPr>
        <w:t>Objective</w:t>
      </w:r>
      <w:r w:rsidRPr="00DC35A1">
        <w:t>: To map and synthesize evidence published since 2020 on the relationship between exposure to tic- or Tourette-related social media content and the onset, exacerbation, or persistence of functional tic-like behaviors (FTLB) in adolescents and young adults, and to characterize how exposure is operationalized and measured and what inferential approaches are used to support claims of behavioral modeling or digitally mediated sociogenic contagion.</w:t>
      </w:r>
    </w:p>
    <w:p w14:paraId="304A9471" w14:textId="77777777" w:rsidR="0019509D" w:rsidRPr="00DC35A1" w:rsidRDefault="0019509D" w:rsidP="0019509D">
      <w:r w:rsidRPr="00DC35A1">
        <w:rPr>
          <w:i/>
          <w:iCs/>
        </w:rPr>
        <w:t>Introduction</w:t>
      </w:r>
      <w:r w:rsidRPr="00DC35A1">
        <w:t>: Since 2020, clinical reports and observational studies have described an increase in abrupt-onset, complex tic-like presentations among adolescents and young adults, often framed within functional neurological disorder phenotypes and temporally associated with social media exposure. In parallel, analyses of highly viewed social media content have characterized tic/Tourette-related videos that may serve as behavioral models. Heterogeneity in definitions, exposure measurement, and causal inference warrants a scoping review.</w:t>
      </w:r>
    </w:p>
    <w:p w14:paraId="382D7A9C" w14:textId="77777777" w:rsidR="0019509D" w:rsidRPr="00DC35A1" w:rsidRDefault="0019509D" w:rsidP="0019509D">
      <w:r w:rsidRPr="00DC35A1">
        <w:rPr>
          <w:i/>
          <w:iCs/>
        </w:rPr>
        <w:t>Inclusion criteria</w:t>
      </w:r>
      <w:r w:rsidRPr="00DC35A1">
        <w:t>: Sources of evidence published or publicly available from 1 January 2020 onward will be eligible. The population of interest includes adolescents and young adults (approximately 10–25 years) with FTLB/functional tics or recent-onset tics with an explicitly discussed functional component. Studies with broader age ranges will be included when results are stratified for the target age group or, if not stratified, when the reported mean or median age falls within 10–25 years and the reported age range is compatible with a predominantly adolescent/young adult sample. The concept is exposure to social media content related to tics/Tourette/FTLB and hypothesized mechanisms of observational learning, behavioral modeling, reinforcement, or digitally mediated sociogenic contagion. The context encompasses the COVID-19 pandemic and post-pandemic period without geographic restriction. Empirical clinical studies, digital content analyses, qualitative studies, mixed-methods studies, and relevant gray literature will be included; reviews and text and opinion papers will be included when they contribute directly to mapping concepts and methods.</w:t>
      </w:r>
    </w:p>
    <w:p w14:paraId="43C58F0F" w14:textId="77777777" w:rsidR="0019509D" w:rsidRPr="00DC35A1" w:rsidRDefault="0019509D" w:rsidP="0019509D">
      <w:r w:rsidRPr="00DC35A1">
        <w:rPr>
          <w:i/>
          <w:iCs/>
        </w:rPr>
        <w:t>Methods</w:t>
      </w:r>
      <w:r w:rsidRPr="00DC35A1">
        <w:t>: This scoping review will be conducted in accordance with JBI guidance and reported using PRISMA-</w:t>
      </w:r>
      <w:proofErr w:type="spellStart"/>
      <w:r w:rsidRPr="00DC35A1">
        <w:t>ScR.</w:t>
      </w:r>
      <w:proofErr w:type="spellEnd"/>
      <w:r w:rsidRPr="00DC35A1">
        <w:t xml:space="preserve"> Eligible sources will be searched in MEDLINE (PubMed), APA PsycINFO (EBSCOhost), Scopus, and Web of Science Core Collection (with CPCI-S and CPCI-SSH enabled), complemented by Global Index Medicus and ProQuest Dissertations &amp; Theses Global, targeted gray literature searches (</w:t>
      </w:r>
      <w:proofErr w:type="spellStart"/>
      <w:r w:rsidRPr="00DC35A1">
        <w:t>medRxiv</w:t>
      </w:r>
      <w:proofErr w:type="spellEnd"/>
      <w:r w:rsidRPr="00DC35A1">
        <w:t>, OSF Preprints, and Google Scholar with a prespecified screening cap), reference list screening, forward citation tracking, and author contact as needed. Two reviewers will independently screen titles/abstracts and full texts, with disagreements resolved by consensus or a third reviewer. Data will be charted using a calibrated, pilot-tested form, and results will be presented using descriptive statistics, mapping tables, an evidence map focused on inferential features (e.g., temporal ordering, exposure measurement modality, confounder handling), and narrative synthesis. No language restrictions will be applied at the search stage.</w:t>
      </w:r>
    </w:p>
    <w:p w14:paraId="0D0E0ADE" w14:textId="77777777" w:rsidR="0019509D" w:rsidRPr="00DC35A1" w:rsidRDefault="0019509D" w:rsidP="0019509D"/>
    <w:p w14:paraId="6EC3A702" w14:textId="77777777" w:rsidR="0019509D" w:rsidRPr="00DC35A1" w:rsidRDefault="0019509D" w:rsidP="0019509D">
      <w:r w:rsidRPr="00DC35A1">
        <w:rPr>
          <w:b/>
          <w:bCs/>
        </w:rPr>
        <w:t>Keywords</w:t>
      </w:r>
      <w:r w:rsidRPr="00DC35A1">
        <w:t>: functional tic-like behaviors; functional neurological disorder; Tourette syndrome; social media exposure; content analysis; adolescents.</w:t>
      </w:r>
    </w:p>
    <w:p w14:paraId="62EAF90D" w14:textId="77777777" w:rsidR="0019509D" w:rsidRPr="00DC35A1" w:rsidRDefault="0019509D" w:rsidP="0019509D"/>
    <w:p w14:paraId="6B615531" w14:textId="77777777" w:rsidR="0019509D" w:rsidRPr="00DC35A1" w:rsidRDefault="0019509D" w:rsidP="0019509D">
      <w:pPr>
        <w:sectPr w:rsidR="0019509D" w:rsidRPr="00DC35A1" w:rsidSect="0019509D">
          <w:footerReference w:type="default" r:id="rId8"/>
          <w:pgSz w:w="12240" w:h="15840"/>
          <w:pgMar w:top="1134" w:right="1701" w:bottom="1134" w:left="1701" w:header="709" w:footer="709" w:gutter="0"/>
          <w:cols w:space="708"/>
          <w:docGrid w:linePitch="360"/>
        </w:sectPr>
      </w:pPr>
    </w:p>
    <w:p w14:paraId="100E211B" w14:textId="77777777" w:rsidR="0019509D" w:rsidRPr="00DC35A1" w:rsidRDefault="0019509D" w:rsidP="0019509D">
      <w:pPr>
        <w:sectPr w:rsidR="0019509D" w:rsidRPr="00DC35A1" w:rsidSect="0019509D">
          <w:type w:val="continuous"/>
          <w:pgSz w:w="12240" w:h="15840"/>
          <w:pgMar w:top="1440" w:right="1080" w:bottom="1440" w:left="1080" w:header="709" w:footer="709" w:gutter="0"/>
          <w:cols w:num="2" w:space="567"/>
          <w:docGrid w:linePitch="360"/>
        </w:sectPr>
      </w:pPr>
    </w:p>
    <w:p w14:paraId="0918B64B" w14:textId="77777777" w:rsidR="0019509D" w:rsidRPr="00DC35A1" w:rsidRDefault="0019509D" w:rsidP="0019509D">
      <w:pPr>
        <w:pStyle w:val="Encabezado1"/>
        <w:sectPr w:rsidR="0019509D" w:rsidRPr="00DC35A1" w:rsidSect="0019509D">
          <w:pgSz w:w="12240" w:h="15840"/>
          <w:pgMar w:top="1191" w:right="1021" w:bottom="1191" w:left="1021" w:header="709" w:footer="709" w:gutter="0"/>
          <w:cols w:num="2" w:space="454"/>
          <w:docGrid w:linePitch="360"/>
        </w:sectPr>
      </w:pPr>
    </w:p>
    <w:p w14:paraId="1416188A" w14:textId="77777777" w:rsidR="0019509D" w:rsidRPr="00DC35A1" w:rsidRDefault="0019509D" w:rsidP="0019509D">
      <w:pPr>
        <w:pStyle w:val="Encabezado1"/>
      </w:pPr>
      <w:r w:rsidRPr="00DC35A1">
        <w:t>Introduction</w:t>
      </w:r>
    </w:p>
    <w:p w14:paraId="2EB82FF0" w14:textId="77777777" w:rsidR="0019509D" w:rsidRPr="00DC35A1" w:rsidRDefault="0019509D" w:rsidP="0019509D">
      <w:r w:rsidRPr="00DC35A1">
        <w:t>Functional tic-like behaviors (FTLB) are motor and/or vocal manifestations that resemble neurodevelopmental tic disorders but are conceptualized within the spectrum of functional neurological disorder presentations. They may differ from primary tic disorders in onset patterns, phenomenology, and associated psychosocial features. Distinguishing FTLB from primary tic disorders remains clinically challenging and has been addressed in prior work examining diagnostic features and the implications of misclassification [1].</w:t>
      </w:r>
    </w:p>
    <w:p w14:paraId="6B13E0CD" w14:textId="77777777" w:rsidR="0019509D" w:rsidRPr="00DC35A1" w:rsidRDefault="0019509D" w:rsidP="0019509D">
      <w:r w:rsidRPr="00DC35A1">
        <w:t>During the COVID-19 pandemic, clinicians reported an increase in presentations of tics and tic-like attacks among children and adolescents, often described as abrupt and complex [2]. Subsequent studies documented rapid-onset FTLB in young people and noted prominent social influences together with frequent comorbid mental health symptoms [3,4]. A distinctive feature of this phenomenon has been the proposed role of social media as a context for behavioral modeling, as suggested by case series in which affected adolescents reported exposure to specific tic-related content or personalities prior to symptom onset [5]. In parallel, analyses of widely viewed videos labeled as Tourette syndrome identified patterns that diverge from typical Tourette phenomenology and interpreted these findings through frameworks such as mass sociogenic illness and social modeling [6]. Comparative clinical studies have further shown that tic-like behaviors emerging after such exposure differ from Tourette syndrome across several phenomenological dimensions, underscoring the need for careful operationalization and methodological caution in causal claims [7].</w:t>
      </w:r>
    </w:p>
    <w:p w14:paraId="74A417C6" w14:textId="6C43B82C" w:rsidR="0019509D" w:rsidRPr="00DC35A1" w:rsidRDefault="0019509D" w:rsidP="0019509D">
      <w:r w:rsidRPr="00DC35A1">
        <w:t xml:space="preserve">Although the literature is expanding, it remains fragmented across clinical case series, observational studies with variable exposure measures, and content analyses using diverse sampling and coding approaches. This heterogeneity influences how exposure is defined, how temporality is established, how confounding is addressed, and how behavioral modeling or sociogenic contagion is inferred. A scoping review is therefore appropriate to systematically map key concepts, measurement approaches, and inferential practices within this emerging evidence base [8–10]. </w:t>
      </w:r>
      <w:r w:rsidR="0041486B" w:rsidRPr="0041486B">
        <w:t>To minimize duplication, a preliminary search of the Cochrane Database of Systematic Reviews and PubMed will be conducted to identify existing scoping or systematic reviews addressing similar questions</w:t>
      </w:r>
      <w:r w:rsidRPr="00DC35A1">
        <w:t>.</w:t>
      </w:r>
    </w:p>
    <w:p w14:paraId="5630F825" w14:textId="77777777" w:rsidR="0019509D" w:rsidRPr="00DC35A1" w:rsidRDefault="0019509D" w:rsidP="0019509D">
      <w:pPr>
        <w:pStyle w:val="Encabezado1"/>
      </w:pPr>
      <w:r w:rsidRPr="00DC35A1">
        <w:t>Objectives</w:t>
      </w:r>
    </w:p>
    <w:p w14:paraId="2FAC8EF7" w14:textId="77777777" w:rsidR="0019509D" w:rsidRPr="00DC35A1" w:rsidRDefault="0019509D" w:rsidP="0019509D">
      <w:r w:rsidRPr="00DC35A1">
        <w:t xml:space="preserve">The primary objective is to map and synthesize evidence published from 2020 onward on the relationship between exposure to tic- or Tourette-related social media content and the onset, exacerbation, or persistence of FTLB in adolescents and young adults. </w:t>
      </w:r>
      <w:proofErr w:type="gramStart"/>
      <w:r w:rsidRPr="00DC35A1">
        <w:t>Particular attention</w:t>
      </w:r>
      <w:proofErr w:type="gramEnd"/>
      <w:r w:rsidRPr="00DC35A1">
        <w:t xml:space="preserve"> will be given to how exposure is operationalized and measured, and to the methodological inferences used to support claims of behavioral modeling or digitally mediated sociogenic contagion [10,11].</w:t>
      </w:r>
    </w:p>
    <w:p w14:paraId="09F56650" w14:textId="77777777" w:rsidR="0019509D" w:rsidRPr="00DC35A1" w:rsidRDefault="0019509D" w:rsidP="0019509D">
      <w:pPr>
        <w:pStyle w:val="Encabezado1"/>
      </w:pPr>
      <w:r w:rsidRPr="00DC35A1">
        <w:t>Review questions</w:t>
      </w:r>
    </w:p>
    <w:p w14:paraId="2662B09A" w14:textId="77777777" w:rsidR="0019509D" w:rsidRPr="00DC35A1" w:rsidRDefault="0019509D" w:rsidP="0019509D">
      <w:r w:rsidRPr="00DC35A1">
        <w:t>This review will address the following questions: (</w:t>
      </w:r>
      <w:proofErr w:type="spellStart"/>
      <w:r w:rsidRPr="00DC35A1">
        <w:t>i</w:t>
      </w:r>
      <w:proofErr w:type="spellEnd"/>
      <w:r w:rsidRPr="00DC35A1">
        <w:t>) What evidence exists from 2020 onward on the relationship between exposure to tic- or Tourette-related social media content and the onset, exacerbation, or persistence of FTLB in adolescents and young adults? (ii) What methods have been used to measure exposure and to support inferences about observational learning, behavioral modeling, reinforcement, or sociogenic contagion? Subquestions will examine the platforms and content formats most frequently reported; how FTLB and “abrupt onset” are defined and diagnosed; how exposure is measured and characterized in terms of intensity, temporality, and measurement properties; which indicators are used to support arguments for modeling (e.g., phenomenological similarity, replication of phrases or behavioral sequences, temporal proximity to exposure); which confounders and comorbidities are assessed, and how; and, in content analysis studies, how sampling, coding procedures, and interrater reliability are conducted, as well as the phenomenological patterns described [5–7,12,13].</w:t>
      </w:r>
    </w:p>
    <w:p w14:paraId="331DDDDC" w14:textId="77777777" w:rsidR="0019509D" w:rsidRPr="00DC35A1" w:rsidRDefault="0019509D" w:rsidP="0019509D">
      <w:pPr>
        <w:pStyle w:val="Encabezado1"/>
      </w:pPr>
      <w:r w:rsidRPr="00DC35A1">
        <w:t>Methods</w:t>
      </w:r>
    </w:p>
    <w:p w14:paraId="1BD51991" w14:textId="77777777" w:rsidR="0019509D" w:rsidRPr="00DC35A1" w:rsidRDefault="0019509D" w:rsidP="0019509D">
      <w:pPr>
        <w:pStyle w:val="Encabezado2"/>
      </w:pPr>
      <w:r w:rsidRPr="00DC35A1">
        <w:t>Design</w:t>
      </w:r>
    </w:p>
    <w:p w14:paraId="59427E94" w14:textId="77777777" w:rsidR="0019509D" w:rsidRPr="00DC35A1" w:rsidRDefault="0019509D" w:rsidP="0019509D">
      <w:r w:rsidRPr="00DC35A1">
        <w:t>This will be a scoping review conducted in accordance with JBI guidance [10]. Reporting of the completed review will follow PRISMA-ScR [11]. Any protocol amendments will be documented in the final report, together with the rationale.</w:t>
      </w:r>
    </w:p>
    <w:p w14:paraId="66FEE8BA" w14:textId="77777777" w:rsidR="0019509D" w:rsidRPr="00DC35A1" w:rsidRDefault="0019509D" w:rsidP="0019509D">
      <w:pPr>
        <w:pStyle w:val="Encabezado2"/>
      </w:pPr>
      <w:r w:rsidRPr="00DC35A1">
        <w:t>Protocol registration</w:t>
      </w:r>
    </w:p>
    <w:p w14:paraId="5C33162A" w14:textId="77777777" w:rsidR="0019509D" w:rsidRPr="00DC35A1" w:rsidRDefault="0019509D" w:rsidP="0019509D">
      <w:r w:rsidRPr="00DC35A1">
        <w:t xml:space="preserve">This protocol was prospectively registered on the Open Science Framework (OSF) before study selection and data charting (DOI: 10.17605/OSF.IO/FKSB5). </w:t>
      </w:r>
    </w:p>
    <w:p w14:paraId="2EE626FF" w14:textId="77777777" w:rsidR="0019509D" w:rsidRPr="00DC35A1" w:rsidRDefault="0019509D" w:rsidP="0019509D">
      <w:pPr>
        <w:pStyle w:val="Encabezado2"/>
      </w:pPr>
      <w:r w:rsidRPr="00DC35A1">
        <w:t>Eligibility criteria</w:t>
      </w:r>
    </w:p>
    <w:p w14:paraId="4E72C107" w14:textId="77777777" w:rsidR="0019509D" w:rsidRPr="00DC35A1" w:rsidRDefault="0019509D" w:rsidP="0019509D">
      <w:r w:rsidRPr="00DC35A1">
        <w:rPr>
          <w:b/>
        </w:rPr>
        <w:lastRenderedPageBreak/>
        <w:t>Population.</w:t>
      </w:r>
      <w:r w:rsidRPr="00DC35A1">
        <w:t xml:space="preserve"> This review will consider sources in which the primary population comprises adolescents and young adults, operationalized as approximately 10–25 years of age. Studies with broader age ranges will be eligible if results are stratified for the target age group; if stratified data are unavailable, studies will be included when the reported mean or median age falls within 10–25 years and the reported age range is compatible with a predominantly adolescent/young adult sample. Eligible clinical populations include individuals diagnosed with FTLB or functional tics, functional movement disorder with tic-like phenomenology, or recent-onset tics in which the source explicitly discusses a functional component. Sources focused exclusively on primary neurodevelopmental tic disorders without discussion of a functional component will be excluded, as will sources describing tic-like symptoms clearly attributable to established organic etiologies when a functional component cannot be distinguished [1,3,12,14].</w:t>
      </w:r>
    </w:p>
    <w:p w14:paraId="236412D2" w14:textId="77777777" w:rsidR="0019509D" w:rsidRPr="00DC35A1" w:rsidRDefault="0019509D" w:rsidP="0019509D">
      <w:r w:rsidRPr="00DC35A1">
        <w:rPr>
          <w:b/>
        </w:rPr>
        <w:t>Concept.</w:t>
      </w:r>
      <w:r w:rsidRPr="00DC35A1">
        <w:t xml:space="preserve"> The concept of interest is exposure to social media content related to tics, Tourette syndrome, or FTLB and the hypothesized role of behavioral modeling, observational learning, reinforcement processes, or digitally mediated sociogenic contagion in relation to symptom onset, exacerbation, or persistence. Exposure will be broadly defined to include passive consumption (viewing), interactive engagement (e.g., liking, commenting, sharing), following specific accounts or hashtags, and content creation or participation, as well as any reported metrics such as time spent, frequency of exposure, platform-derived indicators, or structured self-report measures. Evidence relevant to the concept includes explicit temporal or conceptual links between exposure and symptom trajectory; for content analysis studies, this includes characterization of tic- or Tourette-related content that may plausibly serve as behavioral models [5–7,13].</w:t>
      </w:r>
    </w:p>
    <w:p w14:paraId="5132BDA2" w14:textId="77777777" w:rsidR="0019509D" w:rsidRPr="00DC35A1" w:rsidRDefault="0019509D" w:rsidP="0019509D">
      <w:r w:rsidRPr="00DC35A1">
        <w:rPr>
          <w:b/>
        </w:rPr>
        <w:t>Context.</w:t>
      </w:r>
      <w:r w:rsidRPr="00DC35A1">
        <w:t xml:space="preserve"> The context includes the COVID-19 pandemic and post-pandemic period, with eligibility restricted to sources published or publicly available from 1 January 2020 onward and without geographic restriction. Clinical, community, school, and online contexts will be included when linked to the concept of interest [2–7,12,14].</w:t>
      </w:r>
    </w:p>
    <w:p w14:paraId="22A1C44C" w14:textId="77777777" w:rsidR="0019509D" w:rsidRPr="00DC35A1" w:rsidRDefault="0019509D" w:rsidP="0019509D">
      <w:r w:rsidRPr="00DC35A1">
        <w:rPr>
          <w:b/>
        </w:rPr>
        <w:t>Types of sources.</w:t>
      </w:r>
      <w:r w:rsidRPr="00DC35A1">
        <w:t xml:space="preserve"> Eligible sources of evidence will include quantitative, qualitative, and mixed-methods empirical studies (e.g., case series, cross-sectional studies, cohort studies, case-control studies), digital content analyses of social media posts or videos, and relevant gray literature (e.g., preprints, theses, conference materials) when they </w:t>
      </w:r>
      <w:r w:rsidRPr="00DC35A1">
        <w:t>provide empirical or methodological data relevant to the review questions. Systematic reviews, scoping reviews, consensus documents, and text and opinion papers will be included when they contribute directly to mapping conceptual frameworks, definitions, exposure measurement approaches, or methodological considerations relevant to behavioral modeling or sociogenic contagion in FTLB. Non-empirical sources will be charted and reported separately and will not be interpreted as empirical evidence of exposure–outcome associations [8–11].</w:t>
      </w:r>
    </w:p>
    <w:p w14:paraId="32F46649" w14:textId="77777777" w:rsidR="0019509D" w:rsidRPr="00DC35A1" w:rsidRDefault="0019509D" w:rsidP="0019509D">
      <w:pPr>
        <w:pStyle w:val="Encabezado2"/>
      </w:pPr>
      <w:r w:rsidRPr="00DC35A1">
        <w:t>Information sources</w:t>
      </w:r>
    </w:p>
    <w:p w14:paraId="6504CDB8" w14:textId="77777777" w:rsidR="0019509D" w:rsidRPr="00DC35A1" w:rsidRDefault="0019509D" w:rsidP="0019509D">
      <w:r w:rsidRPr="00DC35A1">
        <w:t xml:space="preserve">The following bibliographic databases will be searched: MEDLINE (PubMed), APA PsycINFO (EBSCOhost), Scopus, and Web of Science Core Collection. Within Web of Science Core Collection, the search will be run with the following citation indexes enabled: Science Citation Index Expanded (SCI-EXPANDED), Social Sciences Citation Index (SSCI), Emerging Sources Citation Index (ESCI), Conference Proceedings Citation Index—Science (CPCI-S), and Conference Proceedings Citation Index—Social Science &amp; Humanities (CPCI-SSH). To broaden coverage of regional literature and unpublished postgraduate research, Global Index Medicus (WHO) and ProQuest Dissertations &amp; Theses Global will also be searched. Gray literature will additionally be sought in </w:t>
      </w:r>
      <w:proofErr w:type="spellStart"/>
      <w:r w:rsidRPr="00DC35A1">
        <w:t>medRxiv</w:t>
      </w:r>
      <w:proofErr w:type="spellEnd"/>
      <w:r w:rsidRPr="00DC35A1">
        <w:t>, OSF Preprints, and Google Scholar (with a predefined and documented screening cap). Reference list screening and forward citation tracking will be conducted for all included sources, and authors may be contacted to clarify missing or ambiguous methodological details when necessary [10,11].</w:t>
      </w:r>
    </w:p>
    <w:p w14:paraId="0454E576" w14:textId="77777777" w:rsidR="0019509D" w:rsidRPr="00DC35A1" w:rsidRDefault="0019509D" w:rsidP="0019509D">
      <w:pPr>
        <w:pStyle w:val="Encabezado2"/>
      </w:pPr>
      <w:r w:rsidRPr="00DC35A1">
        <w:t>Search strategy</w:t>
      </w:r>
    </w:p>
    <w:p w14:paraId="47F39CA2" w14:textId="77777777" w:rsidR="0019509D" w:rsidRPr="00DC35A1" w:rsidRDefault="0019509D" w:rsidP="0019509D">
      <w:r w:rsidRPr="00DC35A1">
        <w:t xml:space="preserve">A three-step search approach will be used, consisting of an initial limited search to identify key terms and indexing, development of source-specific strategies using controlled vocabulary (where available) and free-text terms, and supplementary searching through citation tracking and gray literature. Searches will be restricted to sources published from 1 January 2020 onward, and no language restrictions will be applied at the search stage. For Web of Science Core Collection, CPCI-S and CPCI-SSH will be explicitly enabled prior to running the search, and the set of selected citation indexes will be recorded and reported. The MEDLINE strategy will be peer reviewed in accordance with the PRESS 2015 guideline prior to translation into other databases [15]. Search methods and strategies will be documented to facilitate reproducibility, </w:t>
      </w:r>
      <w:r w:rsidRPr="00DC35A1">
        <w:lastRenderedPageBreak/>
        <w:t xml:space="preserve">consistent with PRISMA-S recommendations [16], and the full strategies for all sources will be provided in Appendix I [10,11]. </w:t>
      </w:r>
    </w:p>
    <w:p w14:paraId="67CCD89A" w14:textId="77777777" w:rsidR="0019509D" w:rsidRPr="00DC35A1" w:rsidRDefault="0019509D" w:rsidP="0019509D">
      <w:pPr>
        <w:pStyle w:val="Encabezado2"/>
      </w:pPr>
      <w:r w:rsidRPr="00DC35A1">
        <w:t>Selection of sources of evidence</w:t>
      </w:r>
    </w:p>
    <w:p w14:paraId="389E7F69" w14:textId="77777777" w:rsidR="0019509D" w:rsidRPr="00DC35A1" w:rsidRDefault="0019509D" w:rsidP="0019509D">
      <w:r w:rsidRPr="00DC35A1">
        <w:t>All retrieved records will be exported to a reference management system for deduplication and then imported into screening software. Two reviewers will independently screen titles and abstracts against eligibility criteria, followed by independent full-text assessment of potentially eligible sources. Disagreements will be resolved through discussion; if consensus is not reached, a third reviewer will adjudicate. A pilot screening exercise will be conducted on an initial sample of records to calibrate the application of eligibility criteria, particularly regarding operationalization of FTLB and the nature of social media exposure. Reasons for exclusion at full-text stage will be recorded. The selection process will be summarized in a PRISMA-ScR flow diagram. When multiple records report the same underlying study or dataset (e.g., preprint and peer-reviewed article; conference abstract and full report; dissertation and journal article), records will be linked and data will be charted preferentially from the most complete report [10,11].</w:t>
      </w:r>
    </w:p>
    <w:p w14:paraId="338AB577" w14:textId="77777777" w:rsidR="0019509D" w:rsidRPr="00DC35A1" w:rsidRDefault="0019509D" w:rsidP="0019509D">
      <w:pPr>
        <w:pStyle w:val="Encabezado2"/>
      </w:pPr>
      <w:r w:rsidRPr="00DC35A1">
        <w:t>Data charting process</w:t>
      </w:r>
    </w:p>
    <w:p w14:paraId="6B60534B" w14:textId="77777777" w:rsidR="0019509D" w:rsidRPr="00DC35A1" w:rsidRDefault="0019509D" w:rsidP="0019509D">
      <w:r w:rsidRPr="00DC35A1">
        <w:t>Data will be charted using a structured form developed a priori and refined iteratively during pilot charting on a subset of included sources; any modifications to the charting form will be documented. Two reviewers will chart data independently for all included sources, with discrepancies reconciled by consensus. When key information is unclear or missing, attempts to contact study authors will be documented along with outcomes [10,11].</w:t>
      </w:r>
    </w:p>
    <w:p w14:paraId="696865DF" w14:textId="77777777" w:rsidR="0019509D" w:rsidRPr="00DC35A1" w:rsidRDefault="0019509D" w:rsidP="0019509D">
      <w:pPr>
        <w:pStyle w:val="Encabezado2"/>
      </w:pPr>
      <w:r w:rsidRPr="00DC35A1">
        <w:t>Data items</w:t>
      </w:r>
    </w:p>
    <w:p w14:paraId="6518FEFD" w14:textId="77777777" w:rsidR="0019509D" w:rsidRPr="00DC35A1" w:rsidRDefault="0019509D" w:rsidP="0019509D">
      <w:r w:rsidRPr="00DC35A1">
        <w:t xml:space="preserve">For each included source, charted data will include bibliographic information (authors, year, publication type, journal or platform, country/region), study type and design (including sampling and coding methods for content analyses), setting and context (clinical specialty, community or school setting, platform environment), participant characteristics or content-unit characteristics (sample size, age distribution, sex/gender when applicable; number of videos/posts and selection criteria for content analyses), definitions and diagnostic approaches for FTLB and operationalization of “abrupt onset,” presence of pre-existing tic disorders or functional overlay, comorbidities and psychosocial factors assessed </w:t>
      </w:r>
      <w:r w:rsidRPr="00DC35A1">
        <w:t xml:space="preserve">and the instruments used, exposure operationalization and measurement (platform, modality of engagement, intensity metrics, exposure window, measurement properties when reported), indicators used to infer temporal ordering and modeling or contagion (e.g., symptom-content similarity, replication of phrases or sequences, stated exposure preceding onset, linkage to trends), confounders considered and analytical handling, outcomes reported (onset, course, severity, functional impact, persistence or relapse), and study-reported limitations and declarations of funding and conflicts of interest. For reviews, consensus documents, and text and opinion papers, charting will focus on definitions, conceptual frameworks, and methodological considerations relevant to exposure measurement and modeling/contagion inference [10,11]. </w:t>
      </w:r>
    </w:p>
    <w:p w14:paraId="0AFB2E18" w14:textId="77777777" w:rsidR="0019509D" w:rsidRPr="00DC35A1" w:rsidRDefault="0019509D" w:rsidP="0019509D">
      <w:pPr>
        <w:pStyle w:val="Encabezado2"/>
      </w:pPr>
      <w:r w:rsidRPr="00DC35A1">
        <w:t xml:space="preserve">Critical appraisal of individual sources </w:t>
      </w:r>
    </w:p>
    <w:p w14:paraId="6123FDB2" w14:textId="77777777" w:rsidR="0019509D" w:rsidRPr="00DC35A1" w:rsidRDefault="0019509D" w:rsidP="0019509D">
      <w:r w:rsidRPr="00DC35A1">
        <w:t xml:space="preserve">Consistent with standard scoping review practice, formal critical appraisal will not be used to exclude sources. However, given this review’s methodological focus, data charting will capture descriptive indicators relevant to inferential strength in exposure–outcome interpretation. These will include whether temporal ordering is established, the exposure measurement modality (e.g., dichotomous self-report versus quantified or platform-derived metrics), whether confounders are assessed and adjusted for, and, for content analyses, the sampling strategy, codebook development, coder training, and reporting of interrater reliability. These indicators will be used descriptively to contextualize the mapped evidence and to identify methodological gaps [10,11]. </w:t>
      </w:r>
    </w:p>
    <w:p w14:paraId="3CC89199" w14:textId="77777777" w:rsidR="0019509D" w:rsidRPr="00DC35A1" w:rsidRDefault="0019509D" w:rsidP="0019509D">
      <w:pPr>
        <w:pStyle w:val="Encabezado2"/>
      </w:pPr>
      <w:r w:rsidRPr="00DC35A1">
        <w:t>Synthesis of results</w:t>
      </w:r>
    </w:p>
    <w:p w14:paraId="75865EB0" w14:textId="77777777" w:rsidR="0019509D" w:rsidRPr="00DC35A1" w:rsidRDefault="0019509D" w:rsidP="0019509D">
      <w:r w:rsidRPr="00DC35A1">
        <w:t xml:space="preserve">Results will be synthesized using descriptive statistics and structured mapping outputs. The synthesis will summarize the distribution of sources by year, country/region, study design, population characteristics, and platforms, and will present mapping tables describing how FTLB are defined and how exposure is operationalized and measured. An evidence map will categorize sources according to inferential features, including temporal ordering, specificity of symptom–content linkage, granularity of exposure measurement, and handling of confounding, and will be interpreted in relation to claims about behavioral modeling and sociogenic contagion. A narrative synthesis will integrate findings across study types to address the review questions, emphasizing concepts, measurement approaches, inferential patterns, and research gaps rather than effect estimation [8–11]. </w:t>
      </w:r>
    </w:p>
    <w:p w14:paraId="3EEB8A69" w14:textId="77777777" w:rsidR="0019509D" w:rsidRPr="00DC35A1" w:rsidRDefault="0019509D" w:rsidP="0019509D">
      <w:pPr>
        <w:pStyle w:val="Encabezado2"/>
      </w:pPr>
      <w:r w:rsidRPr="00DC35A1">
        <w:lastRenderedPageBreak/>
        <w:t>Language and translation procedures</w:t>
      </w:r>
    </w:p>
    <w:p w14:paraId="6D29BD60" w14:textId="77777777" w:rsidR="0019509D" w:rsidRPr="00DC35A1" w:rsidRDefault="0019509D" w:rsidP="0019509D">
      <w:r w:rsidRPr="00DC35A1">
        <w:t xml:space="preserve">No language restrictions will be applied during the search process. For sources published in languages not spoken fluently by the review team, machine translation may be used for eligibility assessment and, when feasible, for data charting. The use of translation tools and any resulting limitations will be documented in the final report [11]. </w:t>
      </w:r>
    </w:p>
    <w:p w14:paraId="755306E8" w14:textId="77777777" w:rsidR="0019509D" w:rsidRPr="00DC35A1" w:rsidRDefault="0019509D" w:rsidP="0019509D">
      <w:pPr>
        <w:pStyle w:val="Encabezado2"/>
      </w:pPr>
      <w:r w:rsidRPr="00DC35A1">
        <w:t>Ethics and dissemination</w:t>
      </w:r>
    </w:p>
    <w:p w14:paraId="0D3CD5DD" w14:textId="77777777" w:rsidR="0019509D" w:rsidRPr="00DC35A1" w:rsidRDefault="0019509D" w:rsidP="0019509D">
      <w:r w:rsidRPr="00DC35A1">
        <w:t xml:space="preserve">Ethics approval is not required for this review, as it will synthesize publicly available data and will not involve the collection of identifiable individual-level data. Findings will be disseminated through publication in peer-reviewed journals and presentation at scientific conferences. The authors intend to make the full search strategies, data charting forms, and extracted data available in an open-access repository, subject to applicable copyright and licensing restrictions [10,11]. </w:t>
      </w:r>
    </w:p>
    <w:p w14:paraId="71E54232" w14:textId="77777777" w:rsidR="0019509D" w:rsidRPr="00DC35A1" w:rsidRDefault="0019509D" w:rsidP="0019509D">
      <w:pPr>
        <w:pStyle w:val="Encabezado2"/>
      </w:pPr>
      <w:r w:rsidRPr="00DC35A1">
        <w:t>Funding</w:t>
      </w:r>
    </w:p>
    <w:p w14:paraId="032959E0" w14:textId="77777777" w:rsidR="0019509D" w:rsidRPr="00DC35A1" w:rsidRDefault="0019509D" w:rsidP="0019509D">
      <w:r w:rsidRPr="00DC35A1">
        <w:t>This research received no specific grant from any funding agency in the public, commercial, or not-for-profit sectors.</w:t>
      </w:r>
    </w:p>
    <w:p w14:paraId="64699474" w14:textId="77777777" w:rsidR="0019509D" w:rsidRPr="00DC35A1" w:rsidRDefault="0019509D" w:rsidP="0019509D">
      <w:pPr>
        <w:pStyle w:val="Encabezado2"/>
      </w:pPr>
      <w:r w:rsidRPr="00DC35A1">
        <w:t>Conflicts of interest</w:t>
      </w:r>
    </w:p>
    <w:p w14:paraId="41711B2E" w14:textId="77777777" w:rsidR="0019509D" w:rsidRPr="00DC35A1" w:rsidRDefault="0019509D" w:rsidP="0019509D">
      <w:r w:rsidRPr="00DC35A1">
        <w:t>The authors declare no conflicts of interest. They have no financial or professional relationships with the authors or institutions whose work is included in this review.</w:t>
      </w:r>
    </w:p>
    <w:p w14:paraId="2B2C99EA" w14:textId="77777777" w:rsidR="0019509D" w:rsidRPr="00DC35A1" w:rsidRDefault="0019509D" w:rsidP="0019509D">
      <w:pPr>
        <w:pStyle w:val="Encabezado2"/>
      </w:pPr>
      <w:r w:rsidRPr="00DC35A1">
        <w:t>Author contributions</w:t>
      </w:r>
    </w:p>
    <w:p w14:paraId="6919768E" w14:textId="77777777" w:rsidR="0019509D" w:rsidRPr="00DC35A1" w:rsidRDefault="0019509D" w:rsidP="0019509D">
      <w:r w:rsidRPr="00DC35A1">
        <w:t>KGT: Conceptualization; Investigation (study selection and data charting); Data curation (data charting); Writing – original draft (protocol and manuscript drafting).</w:t>
      </w:r>
    </w:p>
    <w:p w14:paraId="10E6098B" w14:textId="77777777" w:rsidR="0019509D" w:rsidRPr="00DC35A1" w:rsidRDefault="0019509D" w:rsidP="0019509D">
      <w:r w:rsidRPr="00DC35A1">
        <w:t>ML-E: Conceptualization; Methodology (search strategy development and evidence synthesis planning); Supervision; Writing – review &amp; editing (critical revision of the manuscript).</w:t>
      </w:r>
    </w:p>
    <w:p w14:paraId="6408D8CF" w14:textId="77777777" w:rsidR="0019509D" w:rsidRPr="00DC35A1" w:rsidRDefault="0019509D" w:rsidP="0019509D">
      <w:pPr>
        <w:pStyle w:val="Ttulo2"/>
      </w:pPr>
      <w:r w:rsidRPr="00DC35A1">
        <w:t>References</w:t>
      </w:r>
    </w:p>
    <w:p w14:paraId="427269B2"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Ganos C, Martino D, </w:t>
      </w:r>
      <w:proofErr w:type="spellStart"/>
      <w:r w:rsidRPr="00DC35A1">
        <w:rPr>
          <w:rStyle w:val="Referenciasutil"/>
          <w:sz w:val="16"/>
          <w:szCs w:val="16"/>
        </w:rPr>
        <w:t>Espay</w:t>
      </w:r>
      <w:proofErr w:type="spellEnd"/>
      <w:r w:rsidRPr="00DC35A1">
        <w:rPr>
          <w:rStyle w:val="Referenciasutil"/>
          <w:sz w:val="16"/>
          <w:szCs w:val="16"/>
        </w:rPr>
        <w:t xml:space="preserve"> AJ, Lang AE, Bhatia KP, Edwards MJ. Tics and functional tic-like movements: Can we tell them apart? Neurology. 2019;93(17):750-758. </w:t>
      </w:r>
      <w:proofErr w:type="spellStart"/>
      <w:r w:rsidRPr="00DC35A1">
        <w:rPr>
          <w:rStyle w:val="Referenciasutil"/>
          <w:sz w:val="16"/>
          <w:szCs w:val="16"/>
        </w:rPr>
        <w:t>doi</w:t>
      </w:r>
      <w:proofErr w:type="spellEnd"/>
      <w:r w:rsidRPr="00DC35A1">
        <w:rPr>
          <w:rStyle w:val="Referenciasutil"/>
          <w:sz w:val="16"/>
          <w:szCs w:val="16"/>
        </w:rPr>
        <w:t>: 10.1212/WNL.0000000000008372.</w:t>
      </w:r>
    </w:p>
    <w:p w14:paraId="3A4DAC1A"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Heyman I, Liang H, Hedderly T. COVID-19 related increase in childhood tics and tic-like attacks. Arch Dis Child. 2021;106(5):420-421. </w:t>
      </w:r>
      <w:proofErr w:type="spellStart"/>
      <w:r w:rsidRPr="00DC35A1">
        <w:rPr>
          <w:rStyle w:val="Referenciasutil"/>
          <w:sz w:val="16"/>
          <w:szCs w:val="16"/>
        </w:rPr>
        <w:t>doi</w:t>
      </w:r>
      <w:proofErr w:type="spellEnd"/>
      <w:r w:rsidRPr="00DC35A1">
        <w:rPr>
          <w:rStyle w:val="Referenciasutil"/>
          <w:sz w:val="16"/>
          <w:szCs w:val="16"/>
        </w:rPr>
        <w:t xml:space="preserve">: 10.1136/archdischild-2021-321748. </w:t>
      </w:r>
    </w:p>
    <w:p w14:paraId="50D04480" w14:textId="77777777" w:rsidR="0019509D" w:rsidRPr="00DC35A1" w:rsidRDefault="0019509D" w:rsidP="0019509D">
      <w:pPr>
        <w:pStyle w:val="Prrafodelista"/>
        <w:numPr>
          <w:ilvl w:val="0"/>
          <w:numId w:val="5"/>
        </w:numPr>
        <w:jc w:val="left"/>
        <w:rPr>
          <w:rStyle w:val="Referenciasutil"/>
          <w:sz w:val="16"/>
          <w:szCs w:val="16"/>
        </w:rPr>
      </w:pPr>
      <w:proofErr w:type="spellStart"/>
      <w:r w:rsidRPr="00DC35A1">
        <w:rPr>
          <w:rStyle w:val="Referenciasutil"/>
          <w:sz w:val="16"/>
          <w:szCs w:val="16"/>
        </w:rPr>
        <w:t>Pringsheim</w:t>
      </w:r>
      <w:proofErr w:type="spellEnd"/>
      <w:r w:rsidRPr="00DC35A1">
        <w:rPr>
          <w:rStyle w:val="Referenciasutil"/>
          <w:sz w:val="16"/>
          <w:szCs w:val="16"/>
        </w:rPr>
        <w:t xml:space="preserve"> T, Ganos C, McGuire JF, Hedderly T, Woods D, Gilbert DL, Piacentini J, Dale RC, Martino D. Rapid Onset Functional Tic-Like Behaviors in Young Females During the COVID-19 Pandemic. Mov </w:t>
      </w:r>
      <w:proofErr w:type="spellStart"/>
      <w:r w:rsidRPr="00DC35A1">
        <w:rPr>
          <w:rStyle w:val="Referenciasutil"/>
          <w:sz w:val="16"/>
          <w:szCs w:val="16"/>
        </w:rPr>
        <w:t>Disord</w:t>
      </w:r>
      <w:proofErr w:type="spellEnd"/>
      <w:r w:rsidRPr="00DC35A1">
        <w:rPr>
          <w:rStyle w:val="Referenciasutil"/>
          <w:sz w:val="16"/>
          <w:szCs w:val="16"/>
        </w:rPr>
        <w:t xml:space="preserve">. 2021;36(12):2707-2713. </w:t>
      </w:r>
      <w:proofErr w:type="spellStart"/>
      <w:r w:rsidRPr="00DC35A1">
        <w:rPr>
          <w:rStyle w:val="Referenciasutil"/>
          <w:sz w:val="16"/>
          <w:szCs w:val="16"/>
        </w:rPr>
        <w:t>doi</w:t>
      </w:r>
      <w:proofErr w:type="spellEnd"/>
      <w:r w:rsidRPr="00DC35A1">
        <w:rPr>
          <w:rStyle w:val="Referenciasutil"/>
          <w:sz w:val="16"/>
          <w:szCs w:val="16"/>
        </w:rPr>
        <w:t>: 10.1002/mds.28778.</w:t>
      </w:r>
    </w:p>
    <w:p w14:paraId="60E0C148" w14:textId="77777777" w:rsidR="0019509D" w:rsidRPr="00DC35A1" w:rsidRDefault="0019509D" w:rsidP="0019509D">
      <w:pPr>
        <w:pStyle w:val="Prrafodelista"/>
        <w:numPr>
          <w:ilvl w:val="0"/>
          <w:numId w:val="5"/>
        </w:numPr>
        <w:jc w:val="left"/>
        <w:rPr>
          <w:rStyle w:val="Referenciasutil"/>
          <w:sz w:val="16"/>
          <w:szCs w:val="16"/>
        </w:rPr>
      </w:pPr>
      <w:proofErr w:type="spellStart"/>
      <w:r w:rsidRPr="00DC35A1">
        <w:rPr>
          <w:rStyle w:val="Referenciasutil"/>
          <w:sz w:val="16"/>
          <w:szCs w:val="16"/>
        </w:rPr>
        <w:t>Pringsheim</w:t>
      </w:r>
      <w:proofErr w:type="spellEnd"/>
      <w:r w:rsidRPr="00DC35A1">
        <w:rPr>
          <w:rStyle w:val="Referenciasutil"/>
          <w:sz w:val="16"/>
          <w:szCs w:val="16"/>
        </w:rPr>
        <w:t xml:space="preserve"> T, Martino D. Rapid onset of functional tic-like </w:t>
      </w:r>
      <w:proofErr w:type="spellStart"/>
      <w:r w:rsidRPr="00DC35A1">
        <w:rPr>
          <w:rStyle w:val="Referenciasutil"/>
          <w:sz w:val="16"/>
          <w:szCs w:val="16"/>
        </w:rPr>
        <w:t>behaviours</w:t>
      </w:r>
      <w:proofErr w:type="spellEnd"/>
      <w:r w:rsidRPr="00DC35A1">
        <w:rPr>
          <w:rStyle w:val="Referenciasutil"/>
          <w:sz w:val="16"/>
          <w:szCs w:val="16"/>
        </w:rPr>
        <w:t xml:space="preserve"> in young adults during the COVID-19 pandemic. </w:t>
      </w:r>
      <w:proofErr w:type="spellStart"/>
      <w:r w:rsidRPr="00DC35A1">
        <w:rPr>
          <w:rStyle w:val="Referenciasutil"/>
          <w:sz w:val="16"/>
          <w:szCs w:val="16"/>
        </w:rPr>
        <w:t>Eur</w:t>
      </w:r>
      <w:proofErr w:type="spellEnd"/>
      <w:r w:rsidRPr="00DC35A1">
        <w:rPr>
          <w:rStyle w:val="Referenciasutil"/>
          <w:sz w:val="16"/>
          <w:szCs w:val="16"/>
        </w:rPr>
        <w:t xml:space="preserve"> J Neurol. 2021;28(11):3805-3808. </w:t>
      </w:r>
      <w:proofErr w:type="spellStart"/>
      <w:r w:rsidRPr="00DC35A1">
        <w:rPr>
          <w:rStyle w:val="Referenciasutil"/>
          <w:sz w:val="16"/>
          <w:szCs w:val="16"/>
        </w:rPr>
        <w:t>doi</w:t>
      </w:r>
      <w:proofErr w:type="spellEnd"/>
      <w:r w:rsidRPr="00DC35A1">
        <w:rPr>
          <w:rStyle w:val="Referenciasutil"/>
          <w:sz w:val="16"/>
          <w:szCs w:val="16"/>
        </w:rPr>
        <w:t>: 10.1111/ene.15034.</w:t>
      </w:r>
    </w:p>
    <w:p w14:paraId="2963DEBE"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Hull M, Parnes M. Tics and TikTok: Functional Tics Spread Through Social Media. Mov </w:t>
      </w:r>
      <w:proofErr w:type="spellStart"/>
      <w:r w:rsidRPr="00DC35A1">
        <w:rPr>
          <w:rStyle w:val="Referenciasutil"/>
          <w:sz w:val="16"/>
          <w:szCs w:val="16"/>
        </w:rPr>
        <w:t>Disord</w:t>
      </w:r>
      <w:proofErr w:type="spellEnd"/>
      <w:r w:rsidRPr="00DC35A1">
        <w:rPr>
          <w:rStyle w:val="Referenciasutil"/>
          <w:sz w:val="16"/>
          <w:szCs w:val="16"/>
        </w:rPr>
        <w:t xml:space="preserve"> Clin </w:t>
      </w:r>
      <w:proofErr w:type="spellStart"/>
      <w:r w:rsidRPr="00DC35A1">
        <w:rPr>
          <w:rStyle w:val="Referenciasutil"/>
          <w:sz w:val="16"/>
          <w:szCs w:val="16"/>
        </w:rPr>
        <w:t>Pract</w:t>
      </w:r>
      <w:proofErr w:type="spellEnd"/>
      <w:r w:rsidRPr="00DC35A1">
        <w:rPr>
          <w:rStyle w:val="Referenciasutil"/>
          <w:sz w:val="16"/>
          <w:szCs w:val="16"/>
        </w:rPr>
        <w:t xml:space="preserve">. 2021;8(8):1248-1252. </w:t>
      </w:r>
      <w:proofErr w:type="spellStart"/>
      <w:r w:rsidRPr="00DC35A1">
        <w:rPr>
          <w:rStyle w:val="Referenciasutil"/>
          <w:sz w:val="16"/>
          <w:szCs w:val="16"/>
        </w:rPr>
        <w:t>doi</w:t>
      </w:r>
      <w:proofErr w:type="spellEnd"/>
      <w:r w:rsidRPr="00DC35A1">
        <w:rPr>
          <w:rStyle w:val="Referenciasutil"/>
          <w:sz w:val="16"/>
          <w:szCs w:val="16"/>
        </w:rPr>
        <w:t>: 10.1002/mdc3.13267.</w:t>
      </w:r>
    </w:p>
    <w:p w14:paraId="7764F4F7"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Olvera C, Stebbins GT, Goetz CG, </w:t>
      </w:r>
      <w:proofErr w:type="spellStart"/>
      <w:r w:rsidRPr="00DC35A1">
        <w:rPr>
          <w:rStyle w:val="Referenciasutil"/>
          <w:sz w:val="16"/>
          <w:szCs w:val="16"/>
        </w:rPr>
        <w:t>Kompoliti</w:t>
      </w:r>
      <w:proofErr w:type="spellEnd"/>
      <w:r w:rsidRPr="00DC35A1">
        <w:rPr>
          <w:rStyle w:val="Referenciasutil"/>
          <w:sz w:val="16"/>
          <w:szCs w:val="16"/>
        </w:rPr>
        <w:t xml:space="preserve"> K. TikTok Tics: A Pandemic Within a Pandemic. Mov </w:t>
      </w:r>
      <w:proofErr w:type="spellStart"/>
      <w:r w:rsidRPr="00DC35A1">
        <w:rPr>
          <w:rStyle w:val="Referenciasutil"/>
          <w:sz w:val="16"/>
          <w:szCs w:val="16"/>
        </w:rPr>
        <w:t>Disord</w:t>
      </w:r>
      <w:proofErr w:type="spellEnd"/>
      <w:r w:rsidRPr="00DC35A1">
        <w:rPr>
          <w:rStyle w:val="Referenciasutil"/>
          <w:sz w:val="16"/>
          <w:szCs w:val="16"/>
        </w:rPr>
        <w:t xml:space="preserve"> Clin </w:t>
      </w:r>
      <w:proofErr w:type="spellStart"/>
      <w:r w:rsidRPr="00DC35A1">
        <w:rPr>
          <w:rStyle w:val="Referenciasutil"/>
          <w:sz w:val="16"/>
          <w:szCs w:val="16"/>
        </w:rPr>
        <w:t>Pract</w:t>
      </w:r>
      <w:proofErr w:type="spellEnd"/>
      <w:r w:rsidRPr="00DC35A1">
        <w:rPr>
          <w:rStyle w:val="Referenciasutil"/>
          <w:sz w:val="16"/>
          <w:szCs w:val="16"/>
        </w:rPr>
        <w:t xml:space="preserve">. 2021;8(8):1200-1205. </w:t>
      </w:r>
      <w:proofErr w:type="spellStart"/>
      <w:r w:rsidRPr="00DC35A1">
        <w:rPr>
          <w:rStyle w:val="Referenciasutil"/>
          <w:sz w:val="16"/>
          <w:szCs w:val="16"/>
        </w:rPr>
        <w:t>doi</w:t>
      </w:r>
      <w:proofErr w:type="spellEnd"/>
      <w:r w:rsidRPr="00DC35A1">
        <w:rPr>
          <w:rStyle w:val="Referenciasutil"/>
          <w:sz w:val="16"/>
          <w:szCs w:val="16"/>
        </w:rPr>
        <w:t>: 10.1002/mdc3.13316.</w:t>
      </w:r>
    </w:p>
    <w:p w14:paraId="77168EAE"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Paulus T, Bäumer T, </w:t>
      </w:r>
      <w:proofErr w:type="spellStart"/>
      <w:r w:rsidRPr="00DC35A1">
        <w:rPr>
          <w:rStyle w:val="Referenciasutil"/>
          <w:sz w:val="16"/>
          <w:szCs w:val="16"/>
        </w:rPr>
        <w:t>Verrel</w:t>
      </w:r>
      <w:proofErr w:type="spellEnd"/>
      <w:r w:rsidRPr="00DC35A1">
        <w:rPr>
          <w:rStyle w:val="Referenciasutil"/>
          <w:sz w:val="16"/>
          <w:szCs w:val="16"/>
        </w:rPr>
        <w:t xml:space="preserve"> J, Weissbach A, Roessner V, Beste C, </w:t>
      </w:r>
      <w:proofErr w:type="spellStart"/>
      <w:r w:rsidRPr="00DC35A1">
        <w:rPr>
          <w:rStyle w:val="Referenciasutil"/>
          <w:sz w:val="16"/>
          <w:szCs w:val="16"/>
        </w:rPr>
        <w:t>Münchau</w:t>
      </w:r>
      <w:proofErr w:type="spellEnd"/>
      <w:r w:rsidRPr="00DC35A1">
        <w:rPr>
          <w:rStyle w:val="Referenciasutil"/>
          <w:sz w:val="16"/>
          <w:szCs w:val="16"/>
        </w:rPr>
        <w:t xml:space="preserve"> A. Pandemic Tic-like Behaviors Following Social Media Consumption. Mov </w:t>
      </w:r>
      <w:proofErr w:type="spellStart"/>
      <w:r w:rsidRPr="00DC35A1">
        <w:rPr>
          <w:rStyle w:val="Referenciasutil"/>
          <w:sz w:val="16"/>
          <w:szCs w:val="16"/>
        </w:rPr>
        <w:t>Disord</w:t>
      </w:r>
      <w:proofErr w:type="spellEnd"/>
      <w:r w:rsidRPr="00DC35A1">
        <w:rPr>
          <w:rStyle w:val="Referenciasutil"/>
          <w:sz w:val="16"/>
          <w:szCs w:val="16"/>
        </w:rPr>
        <w:t xml:space="preserve">. 2021;36(12):2932-2935. </w:t>
      </w:r>
      <w:proofErr w:type="spellStart"/>
      <w:r w:rsidRPr="00DC35A1">
        <w:rPr>
          <w:rStyle w:val="Referenciasutil"/>
          <w:sz w:val="16"/>
          <w:szCs w:val="16"/>
        </w:rPr>
        <w:t>doi</w:t>
      </w:r>
      <w:proofErr w:type="spellEnd"/>
      <w:r w:rsidRPr="00DC35A1">
        <w:rPr>
          <w:rStyle w:val="Referenciasutil"/>
          <w:sz w:val="16"/>
          <w:szCs w:val="16"/>
        </w:rPr>
        <w:t>: 10.1002/mds.28800.</w:t>
      </w:r>
    </w:p>
    <w:p w14:paraId="376C9914"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Arksey H, O’Malley L. Scoping studies: towards a methodological framework. Int J Soc Res </w:t>
      </w:r>
      <w:proofErr w:type="spellStart"/>
      <w:r w:rsidRPr="00DC35A1">
        <w:rPr>
          <w:rStyle w:val="Referenciasutil"/>
          <w:sz w:val="16"/>
          <w:szCs w:val="16"/>
        </w:rPr>
        <w:t>Methodol</w:t>
      </w:r>
      <w:proofErr w:type="spellEnd"/>
      <w:r w:rsidRPr="00DC35A1">
        <w:rPr>
          <w:rStyle w:val="Referenciasutil"/>
          <w:sz w:val="16"/>
          <w:szCs w:val="16"/>
        </w:rPr>
        <w:t>. 2005;8(1):19–32. doi:10.1080/1364557032000119616.</w:t>
      </w:r>
    </w:p>
    <w:p w14:paraId="5C397572"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Levac D, Colquhoun H, O'Brien KK. Scoping studies: advancing the methodology. Implement Sci. </w:t>
      </w:r>
      <w:proofErr w:type="gramStart"/>
      <w:r w:rsidRPr="00DC35A1">
        <w:rPr>
          <w:rStyle w:val="Referenciasutil"/>
          <w:sz w:val="16"/>
          <w:szCs w:val="16"/>
        </w:rPr>
        <w:t>2010;5:69</w:t>
      </w:r>
      <w:proofErr w:type="gramEnd"/>
      <w:r w:rsidRPr="00DC35A1">
        <w:rPr>
          <w:rStyle w:val="Referenciasutil"/>
          <w:sz w:val="16"/>
          <w:szCs w:val="16"/>
        </w:rPr>
        <w:t xml:space="preserve">. </w:t>
      </w:r>
      <w:proofErr w:type="spellStart"/>
      <w:r w:rsidRPr="00DC35A1">
        <w:rPr>
          <w:rStyle w:val="Referenciasutil"/>
          <w:sz w:val="16"/>
          <w:szCs w:val="16"/>
        </w:rPr>
        <w:t>doi</w:t>
      </w:r>
      <w:proofErr w:type="spellEnd"/>
      <w:r w:rsidRPr="00DC35A1">
        <w:rPr>
          <w:rStyle w:val="Referenciasutil"/>
          <w:sz w:val="16"/>
          <w:szCs w:val="16"/>
        </w:rPr>
        <w:t>: 10.1186/1748-5908-5-69.</w:t>
      </w:r>
    </w:p>
    <w:p w14:paraId="235B86CF"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Peters MDJ, Godfrey C, McInerney P, Munn Z, </w:t>
      </w:r>
      <w:proofErr w:type="spellStart"/>
      <w:r w:rsidRPr="00DC35A1">
        <w:rPr>
          <w:rStyle w:val="Referenciasutil"/>
          <w:sz w:val="16"/>
          <w:szCs w:val="16"/>
        </w:rPr>
        <w:t>Tricco</w:t>
      </w:r>
      <w:proofErr w:type="spellEnd"/>
      <w:r w:rsidRPr="00DC35A1">
        <w:rPr>
          <w:rStyle w:val="Referenciasutil"/>
          <w:sz w:val="16"/>
          <w:szCs w:val="16"/>
        </w:rPr>
        <w:t xml:space="preserve"> AC, Khalil H. Scoping reviews. In: </w:t>
      </w:r>
      <w:proofErr w:type="spellStart"/>
      <w:r w:rsidRPr="00DC35A1">
        <w:rPr>
          <w:rStyle w:val="Referenciasutil"/>
          <w:sz w:val="16"/>
          <w:szCs w:val="16"/>
        </w:rPr>
        <w:t>Aromataris</w:t>
      </w:r>
      <w:proofErr w:type="spellEnd"/>
      <w:r w:rsidRPr="00DC35A1">
        <w:rPr>
          <w:rStyle w:val="Referenciasutil"/>
          <w:sz w:val="16"/>
          <w:szCs w:val="16"/>
        </w:rPr>
        <w:t xml:space="preserve"> E, Lockwood C, Porritt K, Pilla B, Jordan Z, editors. JBI Manual for Evidence Synthesis [Internet]. Adelaide (AU): JBI; 2024 [cited 2026 Mar 1]. Available from: https://synthesismanual.jbi.global. doi:10.46658/JBIMES-24-09.</w:t>
      </w:r>
    </w:p>
    <w:p w14:paraId="094F785D" w14:textId="77777777" w:rsidR="0019509D" w:rsidRPr="00DC35A1" w:rsidRDefault="0019509D" w:rsidP="0019509D">
      <w:pPr>
        <w:pStyle w:val="Prrafodelista"/>
        <w:numPr>
          <w:ilvl w:val="0"/>
          <w:numId w:val="5"/>
        </w:numPr>
        <w:jc w:val="left"/>
        <w:rPr>
          <w:rStyle w:val="Referenciasutil"/>
          <w:sz w:val="16"/>
          <w:szCs w:val="16"/>
        </w:rPr>
      </w:pPr>
      <w:proofErr w:type="spellStart"/>
      <w:r w:rsidRPr="00DC35A1">
        <w:rPr>
          <w:rStyle w:val="Referenciasutil"/>
          <w:sz w:val="16"/>
          <w:szCs w:val="16"/>
        </w:rPr>
        <w:t>Tricco</w:t>
      </w:r>
      <w:proofErr w:type="spellEnd"/>
      <w:r w:rsidRPr="00DC35A1">
        <w:rPr>
          <w:rStyle w:val="Referenciasutil"/>
          <w:sz w:val="16"/>
          <w:szCs w:val="16"/>
        </w:rPr>
        <w:t xml:space="preserve"> AC, Lillie E, Zarin W, O'Brien KK, Colquhoun H, Levac D, Moher D, Peters MDJ, Horsley T, Weeks L, Hempel S, Akl EA, Chang C, McGowan J, Stewart L, Hartling L, </w:t>
      </w:r>
      <w:proofErr w:type="spellStart"/>
      <w:r w:rsidRPr="00DC35A1">
        <w:rPr>
          <w:rStyle w:val="Referenciasutil"/>
          <w:sz w:val="16"/>
          <w:szCs w:val="16"/>
        </w:rPr>
        <w:t>Aldcroft</w:t>
      </w:r>
      <w:proofErr w:type="spellEnd"/>
      <w:r w:rsidRPr="00DC35A1">
        <w:rPr>
          <w:rStyle w:val="Referenciasutil"/>
          <w:sz w:val="16"/>
          <w:szCs w:val="16"/>
        </w:rPr>
        <w:t xml:space="preserve"> A, Wilson MG, </w:t>
      </w:r>
      <w:proofErr w:type="spellStart"/>
      <w:r w:rsidRPr="00DC35A1">
        <w:rPr>
          <w:rStyle w:val="Referenciasutil"/>
          <w:sz w:val="16"/>
          <w:szCs w:val="16"/>
        </w:rPr>
        <w:t>Garritty</w:t>
      </w:r>
      <w:proofErr w:type="spellEnd"/>
      <w:r w:rsidRPr="00DC35A1">
        <w:rPr>
          <w:rStyle w:val="Referenciasutil"/>
          <w:sz w:val="16"/>
          <w:szCs w:val="16"/>
        </w:rPr>
        <w:t xml:space="preserve"> C, Lewin S, Godfrey CM, Macdonald MT, Langlois EV, Soares-Weiser K, Moriarty J, Clifford T, </w:t>
      </w:r>
      <w:proofErr w:type="spellStart"/>
      <w:r w:rsidRPr="00DC35A1">
        <w:rPr>
          <w:rStyle w:val="Referenciasutil"/>
          <w:sz w:val="16"/>
          <w:szCs w:val="16"/>
        </w:rPr>
        <w:t>Tunçalp</w:t>
      </w:r>
      <w:proofErr w:type="spellEnd"/>
      <w:r w:rsidRPr="00DC35A1">
        <w:rPr>
          <w:rStyle w:val="Referenciasutil"/>
          <w:sz w:val="16"/>
          <w:szCs w:val="16"/>
        </w:rPr>
        <w:t xml:space="preserve"> Ö, Straus SE. PRISMA Extension for Scoping Reviews (PRISMA-ScR): Checklist and Explanation. Ann Intern Med. 2018;169(7):467-473. </w:t>
      </w:r>
      <w:proofErr w:type="spellStart"/>
      <w:r w:rsidRPr="00DC35A1">
        <w:rPr>
          <w:rStyle w:val="Referenciasutil"/>
          <w:sz w:val="16"/>
          <w:szCs w:val="16"/>
        </w:rPr>
        <w:t>doi</w:t>
      </w:r>
      <w:proofErr w:type="spellEnd"/>
      <w:r w:rsidRPr="00DC35A1">
        <w:rPr>
          <w:rStyle w:val="Referenciasutil"/>
          <w:sz w:val="16"/>
          <w:szCs w:val="16"/>
        </w:rPr>
        <w:t xml:space="preserve">: 10.7326/M18-0850. </w:t>
      </w:r>
    </w:p>
    <w:p w14:paraId="48C92E00"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Han VX, Kozlowska K, </w:t>
      </w:r>
      <w:proofErr w:type="spellStart"/>
      <w:r w:rsidRPr="00DC35A1">
        <w:rPr>
          <w:rStyle w:val="Referenciasutil"/>
          <w:sz w:val="16"/>
          <w:szCs w:val="16"/>
        </w:rPr>
        <w:t>Kothur</w:t>
      </w:r>
      <w:proofErr w:type="spellEnd"/>
      <w:r w:rsidRPr="00DC35A1">
        <w:rPr>
          <w:rStyle w:val="Referenciasutil"/>
          <w:sz w:val="16"/>
          <w:szCs w:val="16"/>
        </w:rPr>
        <w:t xml:space="preserve"> K, </w:t>
      </w:r>
      <w:proofErr w:type="spellStart"/>
      <w:r w:rsidRPr="00DC35A1">
        <w:rPr>
          <w:rStyle w:val="Referenciasutil"/>
          <w:sz w:val="16"/>
          <w:szCs w:val="16"/>
        </w:rPr>
        <w:t>Lorentzos</w:t>
      </w:r>
      <w:proofErr w:type="spellEnd"/>
      <w:r w:rsidRPr="00DC35A1">
        <w:rPr>
          <w:rStyle w:val="Referenciasutil"/>
          <w:sz w:val="16"/>
          <w:szCs w:val="16"/>
        </w:rPr>
        <w:t xml:space="preserve"> M, Wong WK, Mohammad SS, Savage B, Chudleigh C, Dale RC. Rapid onset functional tic-like </w:t>
      </w:r>
      <w:proofErr w:type="spellStart"/>
      <w:r w:rsidRPr="00DC35A1">
        <w:rPr>
          <w:rStyle w:val="Referenciasutil"/>
          <w:sz w:val="16"/>
          <w:szCs w:val="16"/>
        </w:rPr>
        <w:t>behaviours</w:t>
      </w:r>
      <w:proofErr w:type="spellEnd"/>
      <w:r w:rsidRPr="00DC35A1">
        <w:rPr>
          <w:rStyle w:val="Referenciasutil"/>
          <w:sz w:val="16"/>
          <w:szCs w:val="16"/>
        </w:rPr>
        <w:t xml:space="preserve"> in children and adolescents during COVID-19: Clinical features, assessment and biopsychosocial treatment approach. J </w:t>
      </w:r>
      <w:proofErr w:type="spellStart"/>
      <w:r w:rsidRPr="00DC35A1">
        <w:rPr>
          <w:rStyle w:val="Referenciasutil"/>
          <w:sz w:val="16"/>
          <w:szCs w:val="16"/>
        </w:rPr>
        <w:t>Paediatr</w:t>
      </w:r>
      <w:proofErr w:type="spellEnd"/>
      <w:r w:rsidRPr="00DC35A1">
        <w:rPr>
          <w:rStyle w:val="Referenciasutil"/>
          <w:sz w:val="16"/>
          <w:szCs w:val="16"/>
        </w:rPr>
        <w:t xml:space="preserve"> Child Health. 2022;58(7):1181-1187. </w:t>
      </w:r>
      <w:proofErr w:type="spellStart"/>
      <w:r w:rsidRPr="00DC35A1">
        <w:rPr>
          <w:rStyle w:val="Referenciasutil"/>
          <w:sz w:val="16"/>
          <w:szCs w:val="16"/>
        </w:rPr>
        <w:t>doi</w:t>
      </w:r>
      <w:proofErr w:type="spellEnd"/>
      <w:r w:rsidRPr="00DC35A1">
        <w:rPr>
          <w:rStyle w:val="Referenciasutil"/>
          <w:sz w:val="16"/>
          <w:szCs w:val="16"/>
        </w:rPr>
        <w:t xml:space="preserve">: 10.1111/jpc.15932. </w:t>
      </w:r>
    </w:p>
    <w:p w14:paraId="68F681E6"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Prato A, Saia F, Milana MC, Scerbo M, Barone R, Rizzo R. Functional tic-like </w:t>
      </w:r>
      <w:proofErr w:type="spellStart"/>
      <w:r w:rsidRPr="00DC35A1">
        <w:rPr>
          <w:rStyle w:val="Referenciasutil"/>
          <w:sz w:val="16"/>
          <w:szCs w:val="16"/>
        </w:rPr>
        <w:t>behaviours</w:t>
      </w:r>
      <w:proofErr w:type="spellEnd"/>
      <w:r w:rsidRPr="00DC35A1">
        <w:rPr>
          <w:rStyle w:val="Referenciasutil"/>
          <w:sz w:val="16"/>
          <w:szCs w:val="16"/>
        </w:rPr>
        <w:t xml:space="preserve"> during the COVID-19 pandemic: Follow-up over 12 months. Front </w:t>
      </w:r>
      <w:proofErr w:type="spellStart"/>
      <w:r w:rsidRPr="00DC35A1">
        <w:rPr>
          <w:rStyle w:val="Referenciasutil"/>
          <w:sz w:val="16"/>
          <w:szCs w:val="16"/>
        </w:rPr>
        <w:t>Pediatr</w:t>
      </w:r>
      <w:proofErr w:type="spellEnd"/>
      <w:r w:rsidRPr="00DC35A1">
        <w:rPr>
          <w:rStyle w:val="Referenciasutil"/>
          <w:sz w:val="16"/>
          <w:szCs w:val="16"/>
        </w:rPr>
        <w:t xml:space="preserve">. </w:t>
      </w:r>
      <w:proofErr w:type="gramStart"/>
      <w:r w:rsidRPr="00DC35A1">
        <w:rPr>
          <w:rStyle w:val="Referenciasutil"/>
          <w:sz w:val="16"/>
          <w:szCs w:val="16"/>
        </w:rPr>
        <w:t>2023;10:1003825</w:t>
      </w:r>
      <w:proofErr w:type="gramEnd"/>
      <w:r w:rsidRPr="00DC35A1">
        <w:rPr>
          <w:rStyle w:val="Referenciasutil"/>
          <w:sz w:val="16"/>
          <w:szCs w:val="16"/>
        </w:rPr>
        <w:t xml:space="preserve">. </w:t>
      </w:r>
      <w:proofErr w:type="spellStart"/>
      <w:r w:rsidRPr="00DC35A1">
        <w:rPr>
          <w:rStyle w:val="Referenciasutil"/>
          <w:sz w:val="16"/>
          <w:szCs w:val="16"/>
        </w:rPr>
        <w:t>doi</w:t>
      </w:r>
      <w:proofErr w:type="spellEnd"/>
      <w:r w:rsidRPr="00DC35A1">
        <w:rPr>
          <w:rStyle w:val="Referenciasutil"/>
          <w:sz w:val="16"/>
          <w:szCs w:val="16"/>
        </w:rPr>
        <w:t>: 10.3389/fped.2022.1003825.</w:t>
      </w:r>
    </w:p>
    <w:p w14:paraId="53E254D5"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Cavanna AE, Purpura G, Riva A, Nacinovich R, Seri S. New-onset functional tics during the COVID-19 pandemic: Clinical characteristics of 105 cases from a single </w:t>
      </w:r>
      <w:proofErr w:type="spellStart"/>
      <w:r w:rsidRPr="00DC35A1">
        <w:rPr>
          <w:rStyle w:val="Referenciasutil"/>
          <w:sz w:val="16"/>
          <w:szCs w:val="16"/>
        </w:rPr>
        <w:t>centre</w:t>
      </w:r>
      <w:proofErr w:type="spellEnd"/>
      <w:r w:rsidRPr="00DC35A1">
        <w:rPr>
          <w:rStyle w:val="Referenciasutil"/>
          <w:sz w:val="16"/>
          <w:szCs w:val="16"/>
        </w:rPr>
        <w:t xml:space="preserve">. </w:t>
      </w:r>
      <w:proofErr w:type="spellStart"/>
      <w:r w:rsidRPr="00DC35A1">
        <w:rPr>
          <w:rStyle w:val="Referenciasutil"/>
          <w:sz w:val="16"/>
          <w:szCs w:val="16"/>
        </w:rPr>
        <w:t>Eur</w:t>
      </w:r>
      <w:proofErr w:type="spellEnd"/>
      <w:r w:rsidRPr="00DC35A1">
        <w:rPr>
          <w:rStyle w:val="Referenciasutil"/>
          <w:sz w:val="16"/>
          <w:szCs w:val="16"/>
        </w:rPr>
        <w:t xml:space="preserve"> J Neurol. 2023;30(8):2411-2417. </w:t>
      </w:r>
      <w:proofErr w:type="spellStart"/>
      <w:r w:rsidRPr="00DC35A1">
        <w:rPr>
          <w:rStyle w:val="Referenciasutil"/>
          <w:sz w:val="16"/>
          <w:szCs w:val="16"/>
        </w:rPr>
        <w:t>doi</w:t>
      </w:r>
      <w:proofErr w:type="spellEnd"/>
      <w:r w:rsidRPr="00DC35A1">
        <w:rPr>
          <w:rStyle w:val="Referenciasutil"/>
          <w:sz w:val="16"/>
          <w:szCs w:val="16"/>
        </w:rPr>
        <w:t xml:space="preserve">: 10.1111/ene.15867. </w:t>
      </w:r>
    </w:p>
    <w:p w14:paraId="2CDD4805" w14:textId="77777777" w:rsidR="0019509D" w:rsidRPr="00DC35A1" w:rsidRDefault="0019509D" w:rsidP="0019509D">
      <w:pPr>
        <w:pStyle w:val="Prrafodelista"/>
        <w:numPr>
          <w:ilvl w:val="0"/>
          <w:numId w:val="5"/>
        </w:numPr>
        <w:jc w:val="left"/>
        <w:rPr>
          <w:rStyle w:val="Referenciasutil"/>
          <w:sz w:val="16"/>
          <w:szCs w:val="16"/>
        </w:rPr>
      </w:pPr>
      <w:r w:rsidRPr="00DC35A1">
        <w:rPr>
          <w:rStyle w:val="Referenciasutil"/>
          <w:sz w:val="16"/>
          <w:szCs w:val="16"/>
        </w:rPr>
        <w:t xml:space="preserve">McGowan J, Sampson M, Salzwedel DM, Cogo E, Foerster V, Lefebvre C. PRESS Peer Review of Electronic Search Strategies: 2015 Guideline Statement. J Clin Epidemiol. </w:t>
      </w:r>
      <w:proofErr w:type="gramStart"/>
      <w:r w:rsidRPr="00DC35A1">
        <w:rPr>
          <w:rStyle w:val="Referenciasutil"/>
          <w:sz w:val="16"/>
          <w:szCs w:val="16"/>
        </w:rPr>
        <w:t>2016;75:40</w:t>
      </w:r>
      <w:proofErr w:type="gramEnd"/>
      <w:r w:rsidRPr="00DC35A1">
        <w:rPr>
          <w:rStyle w:val="Referenciasutil"/>
          <w:sz w:val="16"/>
          <w:szCs w:val="16"/>
        </w:rPr>
        <w:t xml:space="preserve">-6. </w:t>
      </w:r>
      <w:proofErr w:type="spellStart"/>
      <w:r w:rsidRPr="00DC35A1">
        <w:rPr>
          <w:rStyle w:val="Referenciasutil"/>
          <w:sz w:val="16"/>
          <w:szCs w:val="16"/>
        </w:rPr>
        <w:t>doi</w:t>
      </w:r>
      <w:proofErr w:type="spellEnd"/>
      <w:r w:rsidRPr="00DC35A1">
        <w:rPr>
          <w:rStyle w:val="Referenciasutil"/>
          <w:sz w:val="16"/>
          <w:szCs w:val="16"/>
        </w:rPr>
        <w:t>: 10.1016/j.jclinepi.2016.01.021.</w:t>
      </w:r>
    </w:p>
    <w:p w14:paraId="4020BD16" w14:textId="77777777" w:rsidR="0019509D" w:rsidRPr="00DC35A1" w:rsidRDefault="0019509D" w:rsidP="0019509D">
      <w:pPr>
        <w:pStyle w:val="Prrafodelista"/>
        <w:numPr>
          <w:ilvl w:val="0"/>
          <w:numId w:val="5"/>
        </w:numPr>
        <w:jc w:val="left"/>
        <w:rPr>
          <w:rStyle w:val="Referenciasutil"/>
          <w:sz w:val="16"/>
          <w:szCs w:val="16"/>
        </w:rPr>
      </w:pPr>
      <w:proofErr w:type="spellStart"/>
      <w:r w:rsidRPr="00DC35A1">
        <w:rPr>
          <w:rStyle w:val="Referenciasutil"/>
          <w:sz w:val="16"/>
          <w:szCs w:val="16"/>
        </w:rPr>
        <w:t>Rethlefsen</w:t>
      </w:r>
      <w:proofErr w:type="spellEnd"/>
      <w:r w:rsidRPr="00DC35A1">
        <w:rPr>
          <w:rStyle w:val="Referenciasutil"/>
          <w:sz w:val="16"/>
          <w:szCs w:val="16"/>
        </w:rPr>
        <w:t xml:space="preserve"> ML, Kirtley S, Waffenschmidt S, Ayala AP, Moher D, Page MJ, Koffel JB; PRISMA-S Group. PRISMA-S: an extension to the PRISMA Statement for Reporting Literature Searches in Systematic Reviews. Syst Rev. 2021;10(1):39. </w:t>
      </w:r>
      <w:proofErr w:type="spellStart"/>
      <w:r w:rsidRPr="00DC35A1">
        <w:rPr>
          <w:rStyle w:val="Referenciasutil"/>
          <w:sz w:val="16"/>
          <w:szCs w:val="16"/>
        </w:rPr>
        <w:t>doi</w:t>
      </w:r>
      <w:proofErr w:type="spellEnd"/>
      <w:r w:rsidRPr="00DC35A1">
        <w:rPr>
          <w:rStyle w:val="Referenciasutil"/>
          <w:sz w:val="16"/>
          <w:szCs w:val="16"/>
        </w:rPr>
        <w:t xml:space="preserve">: 10.1186/s13643-020-01542-z.  </w:t>
      </w:r>
    </w:p>
    <w:p w14:paraId="4302C398" w14:textId="77777777" w:rsidR="0019509D" w:rsidRPr="00DC35A1" w:rsidRDefault="0019509D" w:rsidP="0019509D">
      <w:pPr>
        <w:sectPr w:rsidR="0019509D" w:rsidRPr="00DC35A1" w:rsidSect="0019509D">
          <w:type w:val="continuous"/>
          <w:pgSz w:w="12240" w:h="15840"/>
          <w:pgMar w:top="1134" w:right="1134" w:bottom="1134" w:left="1134" w:header="709" w:footer="709" w:gutter="0"/>
          <w:cols w:num="2" w:space="454"/>
          <w:docGrid w:linePitch="360"/>
        </w:sectPr>
      </w:pPr>
    </w:p>
    <w:p w14:paraId="5C166673" w14:textId="77777777" w:rsidR="0019509D" w:rsidRPr="00DC35A1" w:rsidRDefault="0019509D" w:rsidP="0019509D">
      <w:pPr>
        <w:pStyle w:val="Ttulo1"/>
      </w:pPr>
      <w:r w:rsidRPr="00DC35A1">
        <w:lastRenderedPageBreak/>
        <w:t>Appendix I. Search strategy</w:t>
      </w:r>
    </w:p>
    <w:p w14:paraId="62652783" w14:textId="77777777" w:rsidR="0019509D" w:rsidRPr="00DC35A1" w:rsidRDefault="0019509D" w:rsidP="0019509D"/>
    <w:p w14:paraId="5DA9AF58" w14:textId="77777777" w:rsidR="0019509D" w:rsidRPr="00DC35A1" w:rsidRDefault="0019509D" w:rsidP="0019509D">
      <w:r w:rsidRPr="00DC35A1">
        <w:t>PubMed</w:t>
      </w:r>
    </w:p>
    <w:p w14:paraId="51B8AC3E" w14:textId="77777777" w:rsidR="0019509D" w:rsidRPr="00B5534B" w:rsidRDefault="0019509D" w:rsidP="0019509D">
      <w:pPr>
        <w:rPr>
          <w:sz w:val="16"/>
          <w:szCs w:val="16"/>
        </w:rPr>
      </w:pPr>
      <w:r w:rsidRPr="00B5534B">
        <w:rPr>
          <w:sz w:val="16"/>
          <w:szCs w:val="16"/>
        </w:rPr>
        <w:t xml:space="preserve">Source: MEDLINE (via PubMed). Platform/interface: PubMed (NCBI). Limits applied: Publication date </w:t>
      </w:r>
      <w:r w:rsidRPr="00B5534B">
        <w:rPr>
          <w:rFonts w:ascii="Cambria Math" w:hAnsi="Cambria Math" w:cs="Cambria Math"/>
          <w:sz w:val="16"/>
          <w:szCs w:val="16"/>
        </w:rPr>
        <w:t>≥</w:t>
      </w:r>
      <w:r w:rsidRPr="00B5534B">
        <w:rPr>
          <w:sz w:val="16"/>
          <w:szCs w:val="16"/>
        </w:rPr>
        <w:t xml:space="preserve"> 2020-01-01; language: none; no other limits/filters applied. Search date: 2026-03-04.</w:t>
      </w:r>
    </w:p>
    <w:p w14:paraId="34B4A83B" w14:textId="77777777" w:rsidR="0019509D" w:rsidRPr="00B5534B" w:rsidRDefault="0019509D" w:rsidP="0019509D">
      <w:pPr>
        <w:rPr>
          <w:sz w:val="16"/>
          <w:szCs w:val="16"/>
        </w:rPr>
      </w:pPr>
      <w:proofErr w:type="gramStart"/>
      <w:r w:rsidRPr="00B5534B">
        <w:rPr>
          <w:sz w:val="16"/>
          <w:szCs w:val="16"/>
        </w:rPr>
        <w:t>( "</w:t>
      </w:r>
      <w:proofErr w:type="gramEnd"/>
      <w:r w:rsidRPr="00B5534B">
        <w:rPr>
          <w:sz w:val="16"/>
          <w:szCs w:val="16"/>
        </w:rPr>
        <w:t>Tics"[Mesh] OR "Tic Disorders"[Mesh] OR "Tourette Syndrome"[Mesh] OR tic[</w:t>
      </w:r>
      <w:proofErr w:type="spellStart"/>
      <w:r w:rsidRPr="00B5534B">
        <w:rPr>
          <w:sz w:val="16"/>
          <w:szCs w:val="16"/>
        </w:rPr>
        <w:t>tiab</w:t>
      </w:r>
      <w:proofErr w:type="spellEnd"/>
      <w:r w:rsidRPr="00B5534B">
        <w:rPr>
          <w:sz w:val="16"/>
          <w:szCs w:val="16"/>
        </w:rPr>
        <w:t>] OR tics[</w:t>
      </w:r>
      <w:proofErr w:type="spellStart"/>
      <w:r w:rsidRPr="00B5534B">
        <w:rPr>
          <w:sz w:val="16"/>
          <w:szCs w:val="16"/>
        </w:rPr>
        <w:t>tiab</w:t>
      </w:r>
      <w:proofErr w:type="spellEnd"/>
      <w:r w:rsidRPr="00B5534B">
        <w:rPr>
          <w:sz w:val="16"/>
          <w:szCs w:val="16"/>
        </w:rPr>
        <w:t>] OR "tic disorder*"[</w:t>
      </w:r>
      <w:proofErr w:type="spellStart"/>
      <w:r w:rsidRPr="00B5534B">
        <w:rPr>
          <w:sz w:val="16"/>
          <w:szCs w:val="16"/>
        </w:rPr>
        <w:t>tiab</w:t>
      </w:r>
      <w:proofErr w:type="spellEnd"/>
      <w:r w:rsidRPr="00B5534B">
        <w:rPr>
          <w:sz w:val="16"/>
          <w:szCs w:val="16"/>
        </w:rPr>
        <w:t xml:space="preserve">] OR </w:t>
      </w:r>
      <w:proofErr w:type="spellStart"/>
      <w:r w:rsidRPr="00B5534B">
        <w:rPr>
          <w:sz w:val="16"/>
          <w:szCs w:val="16"/>
        </w:rPr>
        <w:t>tourette</w:t>
      </w:r>
      <w:proofErr w:type="spellEnd"/>
      <w:r w:rsidRPr="00B5534B">
        <w:rPr>
          <w:sz w:val="16"/>
          <w:szCs w:val="16"/>
        </w:rPr>
        <w:t>*[</w:t>
      </w:r>
      <w:proofErr w:type="spellStart"/>
      <w:r w:rsidRPr="00B5534B">
        <w:rPr>
          <w:sz w:val="16"/>
          <w:szCs w:val="16"/>
        </w:rPr>
        <w:t>tiab</w:t>
      </w:r>
      <w:proofErr w:type="spellEnd"/>
      <w:r w:rsidRPr="00B5534B">
        <w:rPr>
          <w:sz w:val="16"/>
          <w:szCs w:val="16"/>
        </w:rPr>
        <w:t>] OR "tic-like"[</w:t>
      </w:r>
      <w:proofErr w:type="spellStart"/>
      <w:r w:rsidRPr="00B5534B">
        <w:rPr>
          <w:sz w:val="16"/>
          <w:szCs w:val="16"/>
        </w:rPr>
        <w:t>tiab</w:t>
      </w:r>
      <w:proofErr w:type="spellEnd"/>
      <w:r w:rsidRPr="00B5534B">
        <w:rPr>
          <w:sz w:val="16"/>
          <w:szCs w:val="16"/>
        </w:rPr>
        <w:t xml:space="preserve">] OR </w:t>
      </w:r>
      <w:proofErr w:type="spellStart"/>
      <w:r w:rsidRPr="00B5534B">
        <w:rPr>
          <w:sz w:val="16"/>
          <w:szCs w:val="16"/>
        </w:rPr>
        <w:t>ticlike</w:t>
      </w:r>
      <w:proofErr w:type="spellEnd"/>
      <w:r w:rsidRPr="00B5534B">
        <w:rPr>
          <w:sz w:val="16"/>
          <w:szCs w:val="16"/>
        </w:rPr>
        <w:t>[</w:t>
      </w:r>
      <w:proofErr w:type="spellStart"/>
      <w:r w:rsidRPr="00B5534B">
        <w:rPr>
          <w:sz w:val="16"/>
          <w:szCs w:val="16"/>
        </w:rPr>
        <w:t>tiab</w:t>
      </w:r>
      <w:proofErr w:type="spellEnd"/>
      <w:r w:rsidRPr="00B5534B">
        <w:rPr>
          <w:sz w:val="16"/>
          <w:szCs w:val="16"/>
        </w:rPr>
        <w:t xml:space="preserve">] OR </w:t>
      </w:r>
      <w:proofErr w:type="gramStart"/>
      <w:r w:rsidRPr="00B5534B">
        <w:rPr>
          <w:sz w:val="16"/>
          <w:szCs w:val="16"/>
        </w:rPr>
        <w:t>FTLB[</w:t>
      </w:r>
      <w:proofErr w:type="spellStart"/>
      <w:proofErr w:type="gramEnd"/>
      <w:r w:rsidRPr="00B5534B">
        <w:rPr>
          <w:sz w:val="16"/>
          <w:szCs w:val="16"/>
        </w:rPr>
        <w:t>tiab</w:t>
      </w:r>
      <w:proofErr w:type="spellEnd"/>
      <w:proofErr w:type="gramStart"/>
      <w:r w:rsidRPr="00B5534B">
        <w:rPr>
          <w:sz w:val="16"/>
          <w:szCs w:val="16"/>
        </w:rPr>
        <w:t>] )</w:t>
      </w:r>
      <w:proofErr w:type="gramEnd"/>
    </w:p>
    <w:p w14:paraId="11A6B3E2" w14:textId="77777777" w:rsidR="0019509D" w:rsidRPr="00B5534B" w:rsidRDefault="0019509D" w:rsidP="0019509D">
      <w:pPr>
        <w:rPr>
          <w:sz w:val="16"/>
          <w:szCs w:val="16"/>
        </w:rPr>
      </w:pPr>
      <w:r w:rsidRPr="00B5534B">
        <w:rPr>
          <w:sz w:val="16"/>
          <w:szCs w:val="16"/>
        </w:rPr>
        <w:t>AND ( "Social Media"[Mesh] OR "social media"[</w:t>
      </w:r>
      <w:proofErr w:type="spellStart"/>
      <w:r w:rsidRPr="00B5534B">
        <w:rPr>
          <w:sz w:val="16"/>
          <w:szCs w:val="16"/>
        </w:rPr>
        <w:t>tiab</w:t>
      </w:r>
      <w:proofErr w:type="spellEnd"/>
      <w:r w:rsidRPr="00B5534B">
        <w:rPr>
          <w:sz w:val="16"/>
          <w:szCs w:val="16"/>
        </w:rPr>
        <w:t>] OR "social network"[</w:t>
      </w:r>
      <w:proofErr w:type="spellStart"/>
      <w:r w:rsidRPr="00B5534B">
        <w:rPr>
          <w:sz w:val="16"/>
          <w:szCs w:val="16"/>
        </w:rPr>
        <w:t>tiab</w:t>
      </w:r>
      <w:proofErr w:type="spellEnd"/>
      <w:r w:rsidRPr="00B5534B">
        <w:rPr>
          <w:sz w:val="16"/>
          <w:szCs w:val="16"/>
        </w:rPr>
        <w:t>] OR "social networks"[</w:t>
      </w:r>
      <w:proofErr w:type="spellStart"/>
      <w:r w:rsidRPr="00B5534B">
        <w:rPr>
          <w:sz w:val="16"/>
          <w:szCs w:val="16"/>
        </w:rPr>
        <w:t>tiab</w:t>
      </w:r>
      <w:proofErr w:type="spellEnd"/>
      <w:r w:rsidRPr="00B5534B">
        <w:rPr>
          <w:sz w:val="16"/>
          <w:szCs w:val="16"/>
        </w:rPr>
        <w:t>] OR "social networking"[</w:t>
      </w:r>
      <w:proofErr w:type="spellStart"/>
      <w:r w:rsidRPr="00B5534B">
        <w:rPr>
          <w:sz w:val="16"/>
          <w:szCs w:val="16"/>
        </w:rPr>
        <w:t>tiab</w:t>
      </w:r>
      <w:proofErr w:type="spellEnd"/>
      <w:r w:rsidRPr="00B5534B">
        <w:rPr>
          <w:sz w:val="16"/>
          <w:szCs w:val="16"/>
        </w:rPr>
        <w:t>] OR TikTok[</w:t>
      </w:r>
      <w:proofErr w:type="spellStart"/>
      <w:r w:rsidRPr="00B5534B">
        <w:rPr>
          <w:sz w:val="16"/>
          <w:szCs w:val="16"/>
        </w:rPr>
        <w:t>tiab</w:t>
      </w:r>
      <w:proofErr w:type="spellEnd"/>
      <w:r w:rsidRPr="00B5534B">
        <w:rPr>
          <w:sz w:val="16"/>
          <w:szCs w:val="16"/>
        </w:rPr>
        <w:t>] OR "Tik Tok"[</w:t>
      </w:r>
      <w:proofErr w:type="spellStart"/>
      <w:r w:rsidRPr="00B5534B">
        <w:rPr>
          <w:sz w:val="16"/>
          <w:szCs w:val="16"/>
        </w:rPr>
        <w:t>tiab</w:t>
      </w:r>
      <w:proofErr w:type="spellEnd"/>
      <w:r w:rsidRPr="00B5534B">
        <w:rPr>
          <w:sz w:val="16"/>
          <w:szCs w:val="16"/>
        </w:rPr>
        <w:t>] OR YouTube[</w:t>
      </w:r>
      <w:proofErr w:type="spellStart"/>
      <w:r w:rsidRPr="00B5534B">
        <w:rPr>
          <w:sz w:val="16"/>
          <w:szCs w:val="16"/>
        </w:rPr>
        <w:t>tiab</w:t>
      </w:r>
      <w:proofErr w:type="spellEnd"/>
      <w:r w:rsidRPr="00B5534B">
        <w:rPr>
          <w:sz w:val="16"/>
          <w:szCs w:val="16"/>
        </w:rPr>
        <w:t>] OR Instagram[</w:t>
      </w:r>
      <w:proofErr w:type="spellStart"/>
      <w:r w:rsidRPr="00B5534B">
        <w:rPr>
          <w:sz w:val="16"/>
          <w:szCs w:val="16"/>
        </w:rPr>
        <w:t>tiab</w:t>
      </w:r>
      <w:proofErr w:type="spellEnd"/>
      <w:r w:rsidRPr="00B5534B">
        <w:rPr>
          <w:sz w:val="16"/>
          <w:szCs w:val="16"/>
        </w:rPr>
        <w:t>] OR Twitter[</w:t>
      </w:r>
      <w:proofErr w:type="spellStart"/>
      <w:r w:rsidRPr="00B5534B">
        <w:rPr>
          <w:sz w:val="16"/>
          <w:szCs w:val="16"/>
        </w:rPr>
        <w:t>tiab</w:t>
      </w:r>
      <w:proofErr w:type="spellEnd"/>
      <w:r w:rsidRPr="00B5534B">
        <w:rPr>
          <w:sz w:val="16"/>
          <w:szCs w:val="16"/>
        </w:rPr>
        <w:t>] OR Facebook[</w:t>
      </w:r>
      <w:proofErr w:type="spellStart"/>
      <w:r w:rsidRPr="00B5534B">
        <w:rPr>
          <w:sz w:val="16"/>
          <w:szCs w:val="16"/>
        </w:rPr>
        <w:t>tiab</w:t>
      </w:r>
      <w:proofErr w:type="spellEnd"/>
      <w:r w:rsidRPr="00B5534B">
        <w:rPr>
          <w:sz w:val="16"/>
          <w:szCs w:val="16"/>
        </w:rPr>
        <w:t>] OR Snapchat[</w:t>
      </w:r>
      <w:proofErr w:type="spellStart"/>
      <w:r w:rsidRPr="00B5534B">
        <w:rPr>
          <w:sz w:val="16"/>
          <w:szCs w:val="16"/>
        </w:rPr>
        <w:t>tiab</w:t>
      </w:r>
      <w:proofErr w:type="spellEnd"/>
      <w:r w:rsidRPr="00B5534B">
        <w:rPr>
          <w:sz w:val="16"/>
          <w:szCs w:val="16"/>
        </w:rPr>
        <w:t>] OR Reddit[</w:t>
      </w:r>
      <w:proofErr w:type="spellStart"/>
      <w:r w:rsidRPr="00B5534B">
        <w:rPr>
          <w:sz w:val="16"/>
          <w:szCs w:val="16"/>
        </w:rPr>
        <w:t>tiab</w:t>
      </w:r>
      <w:proofErr w:type="spellEnd"/>
      <w:r w:rsidRPr="00B5534B">
        <w:rPr>
          <w:sz w:val="16"/>
          <w:szCs w:val="16"/>
        </w:rPr>
        <w:t>] OR "online video"[</w:t>
      </w:r>
      <w:proofErr w:type="spellStart"/>
      <w:r w:rsidRPr="00B5534B">
        <w:rPr>
          <w:sz w:val="16"/>
          <w:szCs w:val="16"/>
        </w:rPr>
        <w:t>tiab</w:t>
      </w:r>
      <w:proofErr w:type="spellEnd"/>
      <w:r w:rsidRPr="00B5534B">
        <w:rPr>
          <w:sz w:val="16"/>
          <w:szCs w:val="16"/>
        </w:rPr>
        <w:t>] OR "online videos"[</w:t>
      </w:r>
      <w:proofErr w:type="spellStart"/>
      <w:r w:rsidRPr="00B5534B">
        <w:rPr>
          <w:sz w:val="16"/>
          <w:szCs w:val="16"/>
        </w:rPr>
        <w:t>tiab</w:t>
      </w:r>
      <w:proofErr w:type="spellEnd"/>
      <w:r w:rsidRPr="00B5534B">
        <w:rPr>
          <w:sz w:val="16"/>
          <w:szCs w:val="16"/>
        </w:rPr>
        <w:t>] OR "video sharing"[</w:t>
      </w:r>
      <w:proofErr w:type="spellStart"/>
      <w:r w:rsidRPr="00B5534B">
        <w:rPr>
          <w:sz w:val="16"/>
          <w:szCs w:val="16"/>
        </w:rPr>
        <w:t>tiab</w:t>
      </w:r>
      <w:proofErr w:type="spellEnd"/>
      <w:r w:rsidRPr="00B5534B">
        <w:rPr>
          <w:sz w:val="16"/>
          <w:szCs w:val="16"/>
        </w:rPr>
        <w:t>] OR hashtag*[</w:t>
      </w:r>
      <w:proofErr w:type="spellStart"/>
      <w:r w:rsidRPr="00B5534B">
        <w:rPr>
          <w:sz w:val="16"/>
          <w:szCs w:val="16"/>
        </w:rPr>
        <w:t>tiab</w:t>
      </w:r>
      <w:proofErr w:type="spellEnd"/>
      <w:r w:rsidRPr="00B5534B">
        <w:rPr>
          <w:sz w:val="16"/>
          <w:szCs w:val="16"/>
        </w:rPr>
        <w:t>] OR influencer*[</w:t>
      </w:r>
      <w:proofErr w:type="spellStart"/>
      <w:r w:rsidRPr="00B5534B">
        <w:rPr>
          <w:sz w:val="16"/>
          <w:szCs w:val="16"/>
        </w:rPr>
        <w:t>tiab</w:t>
      </w:r>
      <w:proofErr w:type="spellEnd"/>
      <w:r w:rsidRPr="00B5534B">
        <w:rPr>
          <w:sz w:val="16"/>
          <w:szCs w:val="16"/>
        </w:rPr>
        <w:t>] OR livestream*[</w:t>
      </w:r>
      <w:proofErr w:type="spellStart"/>
      <w:r w:rsidRPr="00B5534B">
        <w:rPr>
          <w:sz w:val="16"/>
          <w:szCs w:val="16"/>
        </w:rPr>
        <w:t>tiab</w:t>
      </w:r>
      <w:proofErr w:type="spellEnd"/>
      <w:r w:rsidRPr="00B5534B">
        <w:rPr>
          <w:sz w:val="16"/>
          <w:szCs w:val="16"/>
        </w:rPr>
        <w:t>] OR "screen time"[</w:t>
      </w:r>
      <w:proofErr w:type="spellStart"/>
      <w:r w:rsidRPr="00B5534B">
        <w:rPr>
          <w:sz w:val="16"/>
          <w:szCs w:val="16"/>
        </w:rPr>
        <w:t>tiab</w:t>
      </w:r>
      <w:proofErr w:type="spellEnd"/>
      <w:r w:rsidRPr="00B5534B">
        <w:rPr>
          <w:sz w:val="16"/>
          <w:szCs w:val="16"/>
        </w:rPr>
        <w:t>] OR "user-generated content"[</w:t>
      </w:r>
      <w:proofErr w:type="spellStart"/>
      <w:r w:rsidRPr="00B5534B">
        <w:rPr>
          <w:sz w:val="16"/>
          <w:szCs w:val="16"/>
        </w:rPr>
        <w:t>tiab</w:t>
      </w:r>
      <w:proofErr w:type="spellEnd"/>
      <w:r w:rsidRPr="00B5534B">
        <w:rPr>
          <w:sz w:val="16"/>
          <w:szCs w:val="16"/>
        </w:rPr>
        <w:t>] )</w:t>
      </w:r>
    </w:p>
    <w:p w14:paraId="434F8D6A" w14:textId="77777777" w:rsidR="0019509D" w:rsidRPr="00B5534B" w:rsidRDefault="0019509D" w:rsidP="0019509D">
      <w:r w:rsidRPr="00B5534B">
        <w:rPr>
          <w:sz w:val="16"/>
          <w:szCs w:val="16"/>
        </w:rPr>
        <w:t xml:space="preserve">AND </w:t>
      </w:r>
      <w:proofErr w:type="gramStart"/>
      <w:r w:rsidRPr="00B5534B">
        <w:rPr>
          <w:sz w:val="16"/>
          <w:szCs w:val="16"/>
        </w:rPr>
        <w:t>( "</w:t>
      </w:r>
      <w:proofErr w:type="gramEnd"/>
      <w:r w:rsidRPr="00B5534B">
        <w:rPr>
          <w:sz w:val="16"/>
          <w:szCs w:val="16"/>
        </w:rPr>
        <w:t>2020/01/01"[Date - Publication</w:t>
      </w:r>
      <w:proofErr w:type="gramStart"/>
      <w:r w:rsidRPr="00B5534B">
        <w:rPr>
          <w:sz w:val="16"/>
          <w:szCs w:val="16"/>
        </w:rPr>
        <w:t>] :</w:t>
      </w:r>
      <w:proofErr w:type="gramEnd"/>
      <w:r w:rsidRPr="00B5534B">
        <w:rPr>
          <w:sz w:val="16"/>
          <w:szCs w:val="16"/>
        </w:rPr>
        <w:t xml:space="preserve"> "3000"[Date - Publication</w:t>
      </w:r>
      <w:proofErr w:type="gramStart"/>
      <w:r w:rsidRPr="00B5534B">
        <w:rPr>
          <w:sz w:val="16"/>
          <w:szCs w:val="16"/>
        </w:rPr>
        <w:t>] )</w:t>
      </w:r>
      <w:proofErr w:type="gramEnd"/>
    </w:p>
    <w:p w14:paraId="5DF0EAB5" w14:textId="77777777" w:rsidR="0019509D" w:rsidRDefault="0019509D" w:rsidP="0019509D"/>
    <w:p w14:paraId="6C212341" w14:textId="77777777" w:rsidR="003A52FB" w:rsidRDefault="003A52FB" w:rsidP="003A52FB">
      <w:r>
        <w:t>Included Sources</w:t>
      </w:r>
    </w:p>
    <w:p w14:paraId="4E525EC9" w14:textId="77777777" w:rsidR="003A52FB" w:rsidRDefault="003A52FB" w:rsidP="003A52FB">
      <w:r>
        <w:t>PubMed</w:t>
      </w:r>
    </w:p>
    <w:p w14:paraId="490B2DB2" w14:textId="77777777" w:rsidR="003A52FB" w:rsidRDefault="003A52FB" w:rsidP="003A52FB">
      <w:r>
        <w:t>PsycINFO</w:t>
      </w:r>
    </w:p>
    <w:p w14:paraId="4CE4D5FD" w14:textId="77777777" w:rsidR="003A52FB" w:rsidRDefault="003A52FB" w:rsidP="003A52FB">
      <w:r>
        <w:t>Scopus</w:t>
      </w:r>
    </w:p>
    <w:p w14:paraId="01F219F7" w14:textId="77777777" w:rsidR="003A52FB" w:rsidRDefault="003A52FB" w:rsidP="003A52FB">
      <w:r>
        <w:t>Web of Science Core Collection</w:t>
      </w:r>
    </w:p>
    <w:p w14:paraId="3FDABE0C" w14:textId="77777777" w:rsidR="003A52FB" w:rsidRDefault="003A52FB" w:rsidP="003A52FB">
      <w:r>
        <w:t>Global Index Medicus (GIM)</w:t>
      </w:r>
    </w:p>
    <w:p w14:paraId="45B9975F" w14:textId="77777777" w:rsidR="003A52FB" w:rsidRDefault="003A52FB" w:rsidP="003A52FB">
      <w:r>
        <w:t>ProQuest Dissertations &amp; Theses Global (PQDT Global)</w:t>
      </w:r>
    </w:p>
    <w:p w14:paraId="7BF0ED27" w14:textId="77777777" w:rsidR="003A52FB" w:rsidRDefault="003A52FB" w:rsidP="003A52FB">
      <w:proofErr w:type="spellStart"/>
      <w:r>
        <w:t>medRxiv</w:t>
      </w:r>
      <w:proofErr w:type="spellEnd"/>
    </w:p>
    <w:p w14:paraId="64C6E29C" w14:textId="77777777" w:rsidR="003A52FB" w:rsidRDefault="003A52FB" w:rsidP="003A52FB">
      <w:r>
        <w:t>OSF Preprints</w:t>
      </w:r>
    </w:p>
    <w:p w14:paraId="3CF054A9" w14:textId="77777777" w:rsidR="003A52FB" w:rsidRDefault="003A52FB" w:rsidP="003A52FB">
      <w:r>
        <w:t>Google Scholar</w:t>
      </w:r>
    </w:p>
    <w:p w14:paraId="6AECB700" w14:textId="77777777" w:rsidR="003A52FB" w:rsidRDefault="003A52FB" w:rsidP="003A52FB">
      <w:r>
        <w:t> </w:t>
      </w:r>
    </w:p>
    <w:p w14:paraId="2C4690CF" w14:textId="16357283" w:rsidR="003A52FB" w:rsidRPr="003A52FB" w:rsidRDefault="003A52FB" w:rsidP="003A52FB">
      <w:pPr>
        <w:rPr>
          <w:i/>
          <w:iCs/>
        </w:rPr>
      </w:pPr>
      <w:r w:rsidRPr="003A52FB">
        <w:rPr>
          <w:i/>
          <w:iCs/>
        </w:rPr>
        <w:t>The complete database-specific search strategies will be provided in the final manuscript.</w:t>
      </w:r>
    </w:p>
    <w:p w14:paraId="42FE828C" w14:textId="77777777" w:rsidR="0019509D" w:rsidRPr="00DC35A1" w:rsidRDefault="0019509D" w:rsidP="0019509D"/>
    <w:p w14:paraId="39AE9142" w14:textId="77777777" w:rsidR="003A52FB" w:rsidRDefault="003A52FB" w:rsidP="0019509D"/>
    <w:p w14:paraId="38E3161E" w14:textId="1B76DAA4" w:rsidR="0019509D" w:rsidRPr="00DC35A1" w:rsidRDefault="0019509D" w:rsidP="0019509D">
      <w:r w:rsidRPr="00DC35A1">
        <w:t>Additional identification procedures (deduplication, reference list screening, forward citation tracking, author contact): All records from all sources will be exported into reference management and/or screening software and deduplicated prior to screening, using a documented deduplication workflow. Reference list screening will be performed for all included full-text sources (and relevant reviews/commentaries meeting inclusion criteria) by checking bibliographies for additional eligible evidence; newly identified records will undergo the same deduplication and dual screening process. Forward citation tracking will be conducted for all included studies using citation linking in at least one citation index (e.g., Scopus and/or Web of Science Core Collection, and/or Google Scholar “cited by”) up to the final search date, followed by deduplication and screening. When key methodological details are missing or unclear (e.g., exposure measurement window, platform metrics, sampling/coding procedures for content analyses), corresponding authors will be contacted via email using a standardized request; responses will be logged and used to clarify data charting without altering eligibility criteria.</w:t>
      </w:r>
    </w:p>
    <w:p w14:paraId="7AD44DE5" w14:textId="77777777" w:rsidR="0019509D" w:rsidRPr="00DC35A1" w:rsidRDefault="0019509D" w:rsidP="0019509D"/>
    <w:p w14:paraId="3DBD3198" w14:textId="77777777" w:rsidR="0019509D" w:rsidRPr="00DC35A1" w:rsidRDefault="0019509D" w:rsidP="0019509D">
      <w:r w:rsidRPr="00DC35A1">
        <w:br w:type="page"/>
      </w:r>
    </w:p>
    <w:p w14:paraId="1E24612C" w14:textId="77777777" w:rsidR="0019509D" w:rsidRPr="00DC35A1" w:rsidRDefault="0019509D" w:rsidP="0019509D">
      <w:pPr>
        <w:pStyle w:val="Ttulo1"/>
      </w:pPr>
      <w:r w:rsidRPr="00DC35A1">
        <w:lastRenderedPageBreak/>
        <w:t>Appendix II. Data charting (extraction) instrument</w:t>
      </w:r>
    </w:p>
    <w:p w14:paraId="74B09D5D" w14:textId="77777777" w:rsidR="0019509D" w:rsidRPr="00DC35A1" w:rsidRDefault="0019509D" w:rsidP="0019509D"/>
    <w:p w14:paraId="329C9090" w14:textId="77777777" w:rsidR="00E335F8" w:rsidRPr="00E335F8" w:rsidRDefault="00E335F8" w:rsidP="00E335F8">
      <w:pPr>
        <w:pStyle w:val="normalchico"/>
        <w:rPr>
          <w:sz w:val="20"/>
          <w:szCs w:val="20"/>
        </w:rPr>
      </w:pPr>
      <w:r w:rsidRPr="00E335F8">
        <w:rPr>
          <w:sz w:val="20"/>
          <w:szCs w:val="20"/>
        </w:rPr>
        <w:t>General rules: Use NR (not reported), NA (not applicable), UNC (unclear). When applicable, extract verbatim wording for definitions of FTLB</w:t>
      </w:r>
      <w:proofErr w:type="gramStart"/>
      <w:r w:rsidRPr="00E335F8">
        <w:rPr>
          <w:sz w:val="20"/>
          <w:szCs w:val="20"/>
        </w:rPr>
        <w:t>/“</w:t>
      </w:r>
      <w:proofErr w:type="gramEnd"/>
      <w:r w:rsidRPr="00E335F8">
        <w:rPr>
          <w:sz w:val="20"/>
          <w:szCs w:val="20"/>
        </w:rPr>
        <w:t>abrupt onset,” exposure descriptors, and statements supporting modeling/contagion inferences. If age range exceeds 10–25 years, extract stratified data for the target group when available; otherwise note “not stratified”.</w:t>
      </w:r>
    </w:p>
    <w:p w14:paraId="3B62C545" w14:textId="77777777" w:rsidR="00E335F8" w:rsidRDefault="00E335F8" w:rsidP="00E335F8">
      <w:pPr>
        <w:pStyle w:val="normalchico"/>
      </w:pPr>
      <w:r>
        <w:t> </w:t>
      </w:r>
    </w:p>
    <w:p w14:paraId="5736C38E" w14:textId="77777777" w:rsidR="00E335F8" w:rsidRPr="00E335F8" w:rsidRDefault="00E335F8" w:rsidP="00E335F8">
      <w:pPr>
        <w:pStyle w:val="normalchico"/>
        <w:rPr>
          <w:sz w:val="20"/>
          <w:szCs w:val="20"/>
        </w:rPr>
      </w:pPr>
      <w:r w:rsidRPr="00E335F8">
        <w:rPr>
          <w:sz w:val="20"/>
          <w:szCs w:val="20"/>
        </w:rPr>
        <w:t>A. Source identification</w:t>
      </w:r>
    </w:p>
    <w:p w14:paraId="6AF8F01B" w14:textId="77777777" w:rsidR="00E335F8" w:rsidRDefault="00E335F8" w:rsidP="00E335F8">
      <w:pPr>
        <w:pStyle w:val="normalchico"/>
      </w:pPr>
      <w:r>
        <w:t>Record ID, Full citation (Vancouver), Publication year, Publication type (journal article; conference proceedings/abstract; dissertation/thesis; preprint; report; other), Peer-review status (peer-reviewed / not peer-reviewed / UNC), Full-text language, Country/region (study recruitment location or content-analysis origin, as reported), Data collection period (if applicable), COVID-19 framing (explicit pandemic/post-pandemic framing: yes/no/UNC), Funding statement (source-level), Conflicts of interest statement (source-level), Ethics statement (participant studies and/or content analysis, as reported)</w:t>
      </w:r>
    </w:p>
    <w:p w14:paraId="6B202D9F" w14:textId="77777777" w:rsidR="00E335F8" w:rsidRDefault="00E335F8" w:rsidP="00E335F8">
      <w:pPr>
        <w:pStyle w:val="normalchico"/>
      </w:pPr>
      <w:r>
        <w:t> </w:t>
      </w:r>
    </w:p>
    <w:p w14:paraId="4C8329AB" w14:textId="77777777" w:rsidR="00E335F8" w:rsidRPr="00E335F8" w:rsidRDefault="00E335F8" w:rsidP="00E335F8">
      <w:pPr>
        <w:pStyle w:val="normalchico"/>
        <w:rPr>
          <w:sz w:val="20"/>
          <w:szCs w:val="20"/>
        </w:rPr>
      </w:pPr>
      <w:r w:rsidRPr="00E335F8">
        <w:rPr>
          <w:sz w:val="20"/>
          <w:szCs w:val="20"/>
        </w:rPr>
        <w:t>Sections</w:t>
      </w:r>
    </w:p>
    <w:p w14:paraId="5EE2572A" w14:textId="77777777" w:rsidR="00E335F8" w:rsidRPr="00E335F8" w:rsidRDefault="00E335F8" w:rsidP="00E335F8">
      <w:pPr>
        <w:pStyle w:val="normalchico"/>
        <w:rPr>
          <w:sz w:val="20"/>
          <w:szCs w:val="20"/>
        </w:rPr>
      </w:pPr>
      <w:r w:rsidRPr="00E335F8">
        <w:rPr>
          <w:sz w:val="20"/>
          <w:szCs w:val="20"/>
        </w:rPr>
        <w:t>A. Source identification (all sources)</w:t>
      </w:r>
    </w:p>
    <w:p w14:paraId="2C36E27E" w14:textId="77777777" w:rsidR="00E335F8" w:rsidRPr="00E335F8" w:rsidRDefault="00E335F8" w:rsidP="00E335F8">
      <w:pPr>
        <w:pStyle w:val="normalchico"/>
        <w:rPr>
          <w:sz w:val="20"/>
          <w:szCs w:val="20"/>
        </w:rPr>
      </w:pPr>
      <w:r w:rsidRPr="00E335F8">
        <w:rPr>
          <w:sz w:val="20"/>
          <w:szCs w:val="20"/>
        </w:rPr>
        <w:t>B. Evidence stream and design (all sources)</w:t>
      </w:r>
    </w:p>
    <w:p w14:paraId="509BB565" w14:textId="77777777" w:rsidR="00E335F8" w:rsidRPr="00E335F8" w:rsidRDefault="00E335F8" w:rsidP="00E335F8">
      <w:pPr>
        <w:pStyle w:val="normalchico"/>
        <w:rPr>
          <w:sz w:val="20"/>
          <w:szCs w:val="20"/>
        </w:rPr>
      </w:pPr>
      <w:r w:rsidRPr="00E335F8">
        <w:rPr>
          <w:sz w:val="20"/>
          <w:szCs w:val="20"/>
        </w:rPr>
        <w:t>C. Units of analysis and characteristics</w:t>
      </w:r>
    </w:p>
    <w:p w14:paraId="008AB152" w14:textId="77777777" w:rsidR="00E335F8" w:rsidRPr="00E335F8" w:rsidRDefault="00E335F8" w:rsidP="00E335F8">
      <w:pPr>
        <w:pStyle w:val="normalchico"/>
        <w:rPr>
          <w:sz w:val="20"/>
          <w:szCs w:val="20"/>
        </w:rPr>
      </w:pPr>
      <w:r w:rsidRPr="00E335F8">
        <w:rPr>
          <w:sz w:val="20"/>
          <w:szCs w:val="20"/>
        </w:rPr>
        <w:t>C1. Participant-based empirical studies</w:t>
      </w:r>
    </w:p>
    <w:p w14:paraId="63C15128" w14:textId="77777777" w:rsidR="00E335F8" w:rsidRPr="00E335F8" w:rsidRDefault="00E335F8" w:rsidP="00E335F8">
      <w:pPr>
        <w:pStyle w:val="normalchico"/>
        <w:rPr>
          <w:sz w:val="20"/>
          <w:szCs w:val="20"/>
        </w:rPr>
      </w:pPr>
      <w:r w:rsidRPr="00E335F8">
        <w:rPr>
          <w:sz w:val="20"/>
          <w:szCs w:val="20"/>
        </w:rPr>
        <w:t>C2. Digital content analyses</w:t>
      </w:r>
    </w:p>
    <w:p w14:paraId="0A53587B" w14:textId="77777777" w:rsidR="00E335F8" w:rsidRPr="00E335F8" w:rsidRDefault="00E335F8" w:rsidP="00E335F8">
      <w:pPr>
        <w:pStyle w:val="normalchico"/>
        <w:rPr>
          <w:sz w:val="20"/>
          <w:szCs w:val="20"/>
        </w:rPr>
      </w:pPr>
      <w:r w:rsidRPr="00E335F8">
        <w:rPr>
          <w:sz w:val="20"/>
          <w:szCs w:val="20"/>
        </w:rPr>
        <w:t>D. Tic phenotype definition and operationalization (primarily participant-based; extract as applicable)</w:t>
      </w:r>
    </w:p>
    <w:p w14:paraId="3A7629AC" w14:textId="77777777" w:rsidR="00E335F8" w:rsidRPr="00E335F8" w:rsidRDefault="00E335F8" w:rsidP="00E335F8">
      <w:pPr>
        <w:pStyle w:val="normalchico"/>
        <w:rPr>
          <w:sz w:val="20"/>
          <w:szCs w:val="20"/>
        </w:rPr>
      </w:pPr>
      <w:r w:rsidRPr="00E335F8">
        <w:rPr>
          <w:sz w:val="20"/>
          <w:szCs w:val="20"/>
        </w:rPr>
        <w:t>E. Social media exposure (operationalization and measurement) — participant-based empirical studies</w:t>
      </w:r>
    </w:p>
    <w:p w14:paraId="62296DCB" w14:textId="77777777" w:rsidR="00E335F8" w:rsidRPr="00E335F8" w:rsidRDefault="00E335F8" w:rsidP="00E335F8">
      <w:pPr>
        <w:pStyle w:val="normalchico"/>
        <w:rPr>
          <w:sz w:val="20"/>
          <w:szCs w:val="20"/>
        </w:rPr>
      </w:pPr>
      <w:r w:rsidRPr="00E335F8">
        <w:rPr>
          <w:sz w:val="20"/>
          <w:szCs w:val="20"/>
        </w:rPr>
        <w:t>F. Modeling/contagion inference and proposed mechanisms (all sources; extract as applicable)</w:t>
      </w:r>
    </w:p>
    <w:p w14:paraId="6A65FB6E" w14:textId="77777777" w:rsidR="00E335F8" w:rsidRPr="00E335F8" w:rsidRDefault="00E335F8" w:rsidP="00E335F8">
      <w:pPr>
        <w:pStyle w:val="normalchico"/>
        <w:rPr>
          <w:sz w:val="20"/>
          <w:szCs w:val="20"/>
        </w:rPr>
      </w:pPr>
      <w:r w:rsidRPr="00E335F8">
        <w:rPr>
          <w:sz w:val="20"/>
          <w:szCs w:val="20"/>
        </w:rPr>
        <w:t>G. Confounders, comorbidities, and analytic handling (participant-based empirical studies)</w:t>
      </w:r>
    </w:p>
    <w:p w14:paraId="656BA05F" w14:textId="77777777" w:rsidR="00E335F8" w:rsidRPr="00E335F8" w:rsidRDefault="00E335F8" w:rsidP="00E335F8">
      <w:pPr>
        <w:pStyle w:val="normalchico"/>
        <w:rPr>
          <w:sz w:val="20"/>
          <w:szCs w:val="20"/>
        </w:rPr>
      </w:pPr>
      <w:r w:rsidRPr="00E335F8">
        <w:rPr>
          <w:sz w:val="20"/>
          <w:szCs w:val="20"/>
        </w:rPr>
        <w:t>H. Outcomes and symptom course (participant-based empirical studies)</w:t>
      </w:r>
    </w:p>
    <w:p w14:paraId="6CF44E8D" w14:textId="77777777" w:rsidR="00E335F8" w:rsidRPr="00E335F8" w:rsidRDefault="00E335F8" w:rsidP="00E335F8">
      <w:pPr>
        <w:pStyle w:val="normalchico"/>
        <w:rPr>
          <w:sz w:val="20"/>
          <w:szCs w:val="20"/>
        </w:rPr>
      </w:pPr>
      <w:r w:rsidRPr="00E335F8">
        <w:rPr>
          <w:sz w:val="20"/>
          <w:szCs w:val="20"/>
        </w:rPr>
        <w:t>I. Key findings and limitations (all sources)</w:t>
      </w:r>
    </w:p>
    <w:p w14:paraId="73766298" w14:textId="77777777" w:rsidR="00E335F8" w:rsidRPr="00E335F8" w:rsidRDefault="00E335F8" w:rsidP="00E335F8">
      <w:pPr>
        <w:pStyle w:val="normalchico"/>
        <w:rPr>
          <w:sz w:val="20"/>
          <w:szCs w:val="20"/>
        </w:rPr>
      </w:pPr>
      <w:r w:rsidRPr="00E335F8">
        <w:rPr>
          <w:sz w:val="20"/>
          <w:szCs w:val="20"/>
        </w:rPr>
        <w:t>J. Derived variables for evidence map (reviewer-coded; descriptive, not risk-of-bias)</w:t>
      </w:r>
    </w:p>
    <w:p w14:paraId="1FB1464D" w14:textId="77777777" w:rsidR="00E335F8" w:rsidRPr="00E335F8" w:rsidRDefault="00E335F8" w:rsidP="00E335F8">
      <w:pPr>
        <w:pStyle w:val="normalchico"/>
        <w:rPr>
          <w:sz w:val="20"/>
          <w:szCs w:val="20"/>
        </w:rPr>
      </w:pPr>
      <w:r w:rsidRPr="00E335F8">
        <w:rPr>
          <w:sz w:val="20"/>
          <w:szCs w:val="20"/>
        </w:rPr>
        <w:t>K. Reviewer notes (all sources)</w:t>
      </w:r>
    </w:p>
    <w:p w14:paraId="6EE2ACCB" w14:textId="77777777" w:rsidR="00E335F8" w:rsidRPr="00E335F8" w:rsidRDefault="00E335F8" w:rsidP="00E335F8">
      <w:pPr>
        <w:pStyle w:val="normalchico"/>
        <w:rPr>
          <w:sz w:val="20"/>
          <w:szCs w:val="20"/>
        </w:rPr>
      </w:pPr>
      <w:r w:rsidRPr="00E335F8">
        <w:rPr>
          <w:sz w:val="20"/>
          <w:szCs w:val="20"/>
        </w:rPr>
        <w:t> </w:t>
      </w:r>
    </w:p>
    <w:p w14:paraId="365B86AE" w14:textId="090BEA20" w:rsidR="00D25892" w:rsidRPr="00CB031B" w:rsidRDefault="00E335F8" w:rsidP="00E335F8">
      <w:pPr>
        <w:pStyle w:val="normalchico"/>
        <w:rPr>
          <w:i/>
          <w:iCs/>
          <w:sz w:val="20"/>
          <w:szCs w:val="20"/>
        </w:rPr>
      </w:pPr>
      <w:r w:rsidRPr="00CB031B">
        <w:rPr>
          <w:i/>
          <w:iCs/>
          <w:sz w:val="20"/>
          <w:szCs w:val="20"/>
        </w:rPr>
        <w:t>A detailed description of the data charting framework and extracted variables will be included in the final manuscript.</w:t>
      </w:r>
    </w:p>
    <w:sectPr w:rsidR="00D25892" w:rsidRPr="00CB031B" w:rsidSect="0059587C">
      <w:pgSz w:w="12240" w:h="15840"/>
      <w:pgMar w:top="1134" w:right="1474" w:bottom="1134" w:left="1474" w:header="709" w:footer="709"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C1C6F" w14:textId="77777777" w:rsidR="00261271" w:rsidRDefault="00261271" w:rsidP="00EF59D8">
      <w:pPr>
        <w:spacing w:line="240" w:lineRule="auto"/>
      </w:pPr>
      <w:r>
        <w:separator/>
      </w:r>
    </w:p>
  </w:endnote>
  <w:endnote w:type="continuationSeparator" w:id="0">
    <w:p w14:paraId="1D4C0913" w14:textId="77777777" w:rsidR="00261271" w:rsidRDefault="00261271" w:rsidP="00EF59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keena">
    <w:panose1 w:val="00000000000000000000"/>
    <w:charset w:val="00"/>
    <w:family w:val="auto"/>
    <w:pitch w:val="variable"/>
    <w:sig w:usb0="80000003" w:usb1="00000001" w:usb2="00000000" w:usb3="00000000" w:csb0="00000001" w:csb1="00000000"/>
  </w:font>
  <w:font w:name="Aptos">
    <w:panose1 w:val="020B0004020202020204"/>
    <w:charset w:val="00"/>
    <w:family w:val="swiss"/>
    <w:pitch w:val="variable"/>
    <w:sig w:usb0="20000287" w:usb1="00000003" w:usb2="00000000" w:usb3="00000000" w:csb0="0000019F" w:csb1="00000000"/>
  </w:font>
  <w:font w:name="Centaur Now Display">
    <w:panose1 w:val="00000000000000000000"/>
    <w:charset w:val="4D"/>
    <w:family w:val="auto"/>
    <w:pitch w:val="variable"/>
    <w:sig w:usb0="A00000FF" w:usb1="5000205B" w:usb2="00000008" w:usb3="00000000" w:csb0="0000009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TIX Two Math">
    <w:panose1 w:val="02020603050405020304"/>
    <w:charset w:val="00"/>
    <w:family w:val="roman"/>
    <w:notTrueType/>
    <w:pitch w:val="variable"/>
    <w:sig w:usb0="A00002FF" w:usb1="4000FDFF" w:usb2="02000020"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8307" w14:textId="422B6236" w:rsidR="00EF59D8" w:rsidRPr="00600907" w:rsidRDefault="00EF59D8">
    <w:pPr>
      <w:pStyle w:val="Piedepgina"/>
      <w:rPr>
        <w:i/>
        <w:iCs/>
        <w:color w:val="595959" w:themeColor="text1" w:themeTint="A6"/>
        <w:sz w:val="16"/>
        <w:szCs w:val="16"/>
      </w:rPr>
    </w:pPr>
    <w:r w:rsidRPr="00600907">
      <w:rPr>
        <w:i/>
        <w:iCs/>
        <w:color w:val="595959" w:themeColor="text1" w:themeTint="A6"/>
        <w:sz w:val="16"/>
        <w:szCs w:val="16"/>
      </w:rPr>
      <w:t>Version 1 Date: 2026/03/04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5F613" w14:textId="77777777" w:rsidR="00261271" w:rsidRDefault="00261271" w:rsidP="00EF59D8">
      <w:pPr>
        <w:spacing w:line="240" w:lineRule="auto"/>
      </w:pPr>
      <w:r>
        <w:separator/>
      </w:r>
    </w:p>
  </w:footnote>
  <w:footnote w:type="continuationSeparator" w:id="0">
    <w:p w14:paraId="11E6B0F1" w14:textId="77777777" w:rsidR="00261271" w:rsidRDefault="00261271" w:rsidP="00EF59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5CE6"/>
    <w:multiLevelType w:val="hybridMultilevel"/>
    <w:tmpl w:val="6D664AE6"/>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3456DB6"/>
    <w:multiLevelType w:val="hybridMultilevel"/>
    <w:tmpl w:val="5FBC1550"/>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570D02"/>
    <w:multiLevelType w:val="hybridMultilevel"/>
    <w:tmpl w:val="6F5818D2"/>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4DE19B6"/>
    <w:multiLevelType w:val="hybridMultilevel"/>
    <w:tmpl w:val="2C74B8A2"/>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4" w15:restartNumberingAfterBreak="0">
    <w:nsid w:val="26361A7F"/>
    <w:multiLevelType w:val="hybridMultilevel"/>
    <w:tmpl w:val="816465AE"/>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C53174B"/>
    <w:multiLevelType w:val="hybridMultilevel"/>
    <w:tmpl w:val="34DA092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2DA01B0A"/>
    <w:multiLevelType w:val="hybridMultilevel"/>
    <w:tmpl w:val="F2BE13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1070A1D"/>
    <w:multiLevelType w:val="hybridMultilevel"/>
    <w:tmpl w:val="6A024370"/>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730621D"/>
    <w:multiLevelType w:val="hybridMultilevel"/>
    <w:tmpl w:val="A2ECD3CC"/>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9" w15:restartNumberingAfterBreak="0">
    <w:nsid w:val="37585B1C"/>
    <w:multiLevelType w:val="hybridMultilevel"/>
    <w:tmpl w:val="B2BA35E6"/>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10" w15:restartNumberingAfterBreak="0">
    <w:nsid w:val="394B31EF"/>
    <w:multiLevelType w:val="hybridMultilevel"/>
    <w:tmpl w:val="98A431D8"/>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DDC546F"/>
    <w:multiLevelType w:val="hybridMultilevel"/>
    <w:tmpl w:val="EA4CF0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FCD6CC0"/>
    <w:multiLevelType w:val="hybridMultilevel"/>
    <w:tmpl w:val="909C17C2"/>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1410C39"/>
    <w:multiLevelType w:val="hybridMultilevel"/>
    <w:tmpl w:val="05BA122A"/>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14" w15:restartNumberingAfterBreak="0">
    <w:nsid w:val="416F7F2F"/>
    <w:multiLevelType w:val="hybridMultilevel"/>
    <w:tmpl w:val="0A9664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23A5D41"/>
    <w:multiLevelType w:val="hybridMultilevel"/>
    <w:tmpl w:val="5D40DECC"/>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16" w15:restartNumberingAfterBreak="0">
    <w:nsid w:val="48052668"/>
    <w:multiLevelType w:val="hybridMultilevel"/>
    <w:tmpl w:val="1DA80236"/>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2780669"/>
    <w:multiLevelType w:val="hybridMultilevel"/>
    <w:tmpl w:val="2A2AD462"/>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18" w15:restartNumberingAfterBreak="0">
    <w:nsid w:val="54051A86"/>
    <w:multiLevelType w:val="hybridMultilevel"/>
    <w:tmpl w:val="0EDC6DBC"/>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19" w15:restartNumberingAfterBreak="0">
    <w:nsid w:val="62162D73"/>
    <w:multiLevelType w:val="hybridMultilevel"/>
    <w:tmpl w:val="58AACC80"/>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20" w15:restartNumberingAfterBreak="0">
    <w:nsid w:val="69AA7634"/>
    <w:multiLevelType w:val="hybridMultilevel"/>
    <w:tmpl w:val="0EB20200"/>
    <w:lvl w:ilvl="0" w:tplc="2AF461E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74AA7D5C"/>
    <w:multiLevelType w:val="hybridMultilevel"/>
    <w:tmpl w:val="0C4AAE7A"/>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6963704"/>
    <w:multiLevelType w:val="hybridMultilevel"/>
    <w:tmpl w:val="CF2664A0"/>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23" w15:restartNumberingAfterBreak="0">
    <w:nsid w:val="776A0260"/>
    <w:multiLevelType w:val="hybridMultilevel"/>
    <w:tmpl w:val="5914C35C"/>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24" w15:restartNumberingAfterBreak="0">
    <w:nsid w:val="786A54F8"/>
    <w:multiLevelType w:val="hybridMultilevel"/>
    <w:tmpl w:val="B8BEE4BE"/>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25" w15:restartNumberingAfterBreak="0">
    <w:nsid w:val="79410A65"/>
    <w:multiLevelType w:val="hybridMultilevel"/>
    <w:tmpl w:val="E4CC16E6"/>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D0E4CD1"/>
    <w:multiLevelType w:val="hybridMultilevel"/>
    <w:tmpl w:val="99469930"/>
    <w:lvl w:ilvl="0" w:tplc="0BAC3A08">
      <w:start w:val="1"/>
      <w:numFmt w:val="decimal"/>
      <w:lvlText w:val="%1"/>
      <w:lvlJc w:val="left"/>
      <w:pPr>
        <w:ind w:left="720" w:hanging="72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7D851C3F"/>
    <w:multiLevelType w:val="hybridMultilevel"/>
    <w:tmpl w:val="82CAE970"/>
    <w:lvl w:ilvl="0" w:tplc="FC1C6A20">
      <w:start w:val="14"/>
      <w:numFmt w:val="bullet"/>
      <w:lvlText w:val="•"/>
      <w:lvlJc w:val="left"/>
      <w:pPr>
        <w:ind w:left="1420" w:hanging="720"/>
      </w:pPr>
      <w:rPr>
        <w:rFonts w:ascii="Skeena" w:eastAsiaTheme="minorHAnsi" w:hAnsi="Skeena" w:cs="Centaur Now Display" w:hint="default"/>
      </w:rPr>
    </w:lvl>
    <w:lvl w:ilvl="1" w:tplc="080A0003" w:tentative="1">
      <w:start w:val="1"/>
      <w:numFmt w:val="bullet"/>
      <w:lvlText w:val="o"/>
      <w:lvlJc w:val="left"/>
      <w:pPr>
        <w:ind w:left="1780" w:hanging="360"/>
      </w:pPr>
      <w:rPr>
        <w:rFonts w:ascii="Courier New" w:hAnsi="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28" w15:restartNumberingAfterBreak="0">
    <w:nsid w:val="7F181FD6"/>
    <w:multiLevelType w:val="multilevel"/>
    <w:tmpl w:val="5F9EA4E8"/>
    <w:lvl w:ilvl="0">
      <w:start w:val="1"/>
      <w:numFmt w:val="decimal"/>
      <w:pStyle w:val="Encabezado1"/>
      <w:lvlText w:val="%1."/>
      <w:lvlJc w:val="left"/>
      <w:pPr>
        <w:ind w:left="360" w:hanging="360"/>
      </w:pPr>
      <w:rPr>
        <w:rFonts w:hint="default"/>
      </w:rPr>
    </w:lvl>
    <w:lvl w:ilvl="1">
      <w:start w:val="1"/>
      <w:numFmt w:val="decimal"/>
      <w:pStyle w:val="Encabezado2"/>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13337048">
    <w:abstractNumId w:val="5"/>
  </w:num>
  <w:num w:numId="2" w16cid:durableId="1165585808">
    <w:abstractNumId w:val="28"/>
  </w:num>
  <w:num w:numId="3" w16cid:durableId="67194462">
    <w:abstractNumId w:val="14"/>
  </w:num>
  <w:num w:numId="4" w16cid:durableId="207422627">
    <w:abstractNumId w:val="26"/>
  </w:num>
  <w:num w:numId="5" w16cid:durableId="1221861667">
    <w:abstractNumId w:val="20"/>
  </w:num>
  <w:num w:numId="6" w16cid:durableId="1257791982">
    <w:abstractNumId w:val="6"/>
  </w:num>
  <w:num w:numId="7" w16cid:durableId="391076889">
    <w:abstractNumId w:val="9"/>
  </w:num>
  <w:num w:numId="8" w16cid:durableId="1666547411">
    <w:abstractNumId w:val="11"/>
  </w:num>
  <w:num w:numId="9" w16cid:durableId="1069305178">
    <w:abstractNumId w:val="19"/>
  </w:num>
  <w:num w:numId="10" w16cid:durableId="93131516">
    <w:abstractNumId w:val="25"/>
  </w:num>
  <w:num w:numId="11" w16cid:durableId="968974096">
    <w:abstractNumId w:val="27"/>
  </w:num>
  <w:num w:numId="12" w16cid:durableId="1392998569">
    <w:abstractNumId w:val="12"/>
  </w:num>
  <w:num w:numId="13" w16cid:durableId="250479131">
    <w:abstractNumId w:val="18"/>
  </w:num>
  <w:num w:numId="14" w16cid:durableId="614144446">
    <w:abstractNumId w:val="10"/>
  </w:num>
  <w:num w:numId="15" w16cid:durableId="1072702264">
    <w:abstractNumId w:val="8"/>
  </w:num>
  <w:num w:numId="16" w16cid:durableId="1470778241">
    <w:abstractNumId w:val="16"/>
  </w:num>
  <w:num w:numId="17" w16cid:durableId="923957078">
    <w:abstractNumId w:val="13"/>
  </w:num>
  <w:num w:numId="18" w16cid:durableId="400178510">
    <w:abstractNumId w:val="2"/>
  </w:num>
  <w:num w:numId="19" w16cid:durableId="1481339808">
    <w:abstractNumId w:val="3"/>
  </w:num>
  <w:num w:numId="20" w16cid:durableId="1057121547">
    <w:abstractNumId w:val="4"/>
  </w:num>
  <w:num w:numId="21" w16cid:durableId="498077534">
    <w:abstractNumId w:val="15"/>
  </w:num>
  <w:num w:numId="22" w16cid:durableId="1668289870">
    <w:abstractNumId w:val="0"/>
  </w:num>
  <w:num w:numId="23" w16cid:durableId="1842964996">
    <w:abstractNumId w:val="22"/>
  </w:num>
  <w:num w:numId="24" w16cid:durableId="1837764445">
    <w:abstractNumId w:val="1"/>
  </w:num>
  <w:num w:numId="25" w16cid:durableId="1425878384">
    <w:abstractNumId w:val="24"/>
  </w:num>
  <w:num w:numId="26" w16cid:durableId="402684021">
    <w:abstractNumId w:val="21"/>
  </w:num>
  <w:num w:numId="27" w16cid:durableId="986476071">
    <w:abstractNumId w:val="17"/>
  </w:num>
  <w:num w:numId="28" w16cid:durableId="218564048">
    <w:abstractNumId w:val="7"/>
  </w:num>
  <w:num w:numId="29" w16cid:durableId="9797251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AC9"/>
    <w:rsid w:val="00035D50"/>
    <w:rsid w:val="000E4348"/>
    <w:rsid w:val="00117590"/>
    <w:rsid w:val="001229EF"/>
    <w:rsid w:val="00171AC9"/>
    <w:rsid w:val="0017310E"/>
    <w:rsid w:val="00177D83"/>
    <w:rsid w:val="00193CC2"/>
    <w:rsid w:val="00193E63"/>
    <w:rsid w:val="0019509D"/>
    <w:rsid w:val="001952DF"/>
    <w:rsid w:val="00224054"/>
    <w:rsid w:val="00251EFE"/>
    <w:rsid w:val="00261271"/>
    <w:rsid w:val="00287A8E"/>
    <w:rsid w:val="002E1427"/>
    <w:rsid w:val="00356D2D"/>
    <w:rsid w:val="00375088"/>
    <w:rsid w:val="00376019"/>
    <w:rsid w:val="003A52FB"/>
    <w:rsid w:val="003C7732"/>
    <w:rsid w:val="0041486B"/>
    <w:rsid w:val="00462E12"/>
    <w:rsid w:val="004924C1"/>
    <w:rsid w:val="004B6C61"/>
    <w:rsid w:val="004C5A27"/>
    <w:rsid w:val="004C5C9A"/>
    <w:rsid w:val="00505DD7"/>
    <w:rsid w:val="00551922"/>
    <w:rsid w:val="00580FB2"/>
    <w:rsid w:val="005916C0"/>
    <w:rsid w:val="00594E30"/>
    <w:rsid w:val="0059587C"/>
    <w:rsid w:val="00600907"/>
    <w:rsid w:val="00626D87"/>
    <w:rsid w:val="0063449A"/>
    <w:rsid w:val="006406DA"/>
    <w:rsid w:val="00674FC8"/>
    <w:rsid w:val="006839AF"/>
    <w:rsid w:val="006F2B31"/>
    <w:rsid w:val="00715724"/>
    <w:rsid w:val="00724A36"/>
    <w:rsid w:val="00761D7A"/>
    <w:rsid w:val="00776165"/>
    <w:rsid w:val="007A6BC7"/>
    <w:rsid w:val="00804651"/>
    <w:rsid w:val="00805E9D"/>
    <w:rsid w:val="00822227"/>
    <w:rsid w:val="008D32F4"/>
    <w:rsid w:val="00900381"/>
    <w:rsid w:val="00962D24"/>
    <w:rsid w:val="00990207"/>
    <w:rsid w:val="00A16787"/>
    <w:rsid w:val="00A41A59"/>
    <w:rsid w:val="00AD59CF"/>
    <w:rsid w:val="00AE4BB7"/>
    <w:rsid w:val="00B1192C"/>
    <w:rsid w:val="00B30368"/>
    <w:rsid w:val="00B5534B"/>
    <w:rsid w:val="00BA4B00"/>
    <w:rsid w:val="00BF7E08"/>
    <w:rsid w:val="00C06913"/>
    <w:rsid w:val="00C263B2"/>
    <w:rsid w:val="00C662F5"/>
    <w:rsid w:val="00C85FA9"/>
    <w:rsid w:val="00CB031B"/>
    <w:rsid w:val="00CE150C"/>
    <w:rsid w:val="00D25892"/>
    <w:rsid w:val="00D37493"/>
    <w:rsid w:val="00D65EC9"/>
    <w:rsid w:val="00DC35A1"/>
    <w:rsid w:val="00E11E4D"/>
    <w:rsid w:val="00E335F8"/>
    <w:rsid w:val="00E66098"/>
    <w:rsid w:val="00EC45DC"/>
    <w:rsid w:val="00EC7AD5"/>
    <w:rsid w:val="00EF59D8"/>
    <w:rsid w:val="00F67D8C"/>
    <w:rsid w:val="00F95A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0DBF2"/>
  <w15:chartTrackingRefBased/>
  <w15:docId w15:val="{62B09AF5-BFF4-5C4C-BB40-E3063292D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87C"/>
    <w:pPr>
      <w:spacing w:after="0" w:line="276" w:lineRule="auto"/>
      <w:jc w:val="both"/>
    </w:pPr>
    <w:rPr>
      <w:rFonts w:ascii="Skeena" w:hAnsi="Skeena" w:cs="Centaur Now Display"/>
      <w:sz w:val="20"/>
      <w:szCs w:val="20"/>
      <w:lang w:val="en-US"/>
    </w:rPr>
  </w:style>
  <w:style w:type="paragraph" w:styleId="Ttulo1">
    <w:name w:val="heading 1"/>
    <w:basedOn w:val="Normal"/>
    <w:next w:val="Normal"/>
    <w:link w:val="Ttulo1Car"/>
    <w:uiPriority w:val="9"/>
    <w:qFormat/>
    <w:rsid w:val="004C5A27"/>
    <w:pPr>
      <w:outlineLvl w:val="0"/>
    </w:pPr>
    <w:rPr>
      <w:rFonts w:cs="STIX Two Math"/>
      <w:b/>
      <w:bCs/>
    </w:rPr>
  </w:style>
  <w:style w:type="paragraph" w:styleId="Ttulo2">
    <w:name w:val="heading 2"/>
    <w:basedOn w:val="Ttulo1"/>
    <w:next w:val="Normal"/>
    <w:link w:val="Ttulo2Car"/>
    <w:uiPriority w:val="9"/>
    <w:unhideWhenUsed/>
    <w:qFormat/>
    <w:rsid w:val="004C5C9A"/>
    <w:pPr>
      <w:spacing w:before="120" w:after="120"/>
      <w:contextualSpacing/>
      <w:outlineLvl w:val="1"/>
    </w:pPr>
  </w:style>
  <w:style w:type="paragraph" w:styleId="Ttulo3">
    <w:name w:val="heading 3"/>
    <w:basedOn w:val="Normal"/>
    <w:next w:val="Normal"/>
    <w:link w:val="Ttulo3Car"/>
    <w:uiPriority w:val="9"/>
    <w:semiHidden/>
    <w:unhideWhenUsed/>
    <w:qFormat/>
    <w:rsid w:val="00171A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1A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1A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1AC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1AC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1AC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1AC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cabezado1">
    <w:name w:val="Encabezado 1"/>
    <w:basedOn w:val="Prrafodelista"/>
    <w:next w:val="Normal"/>
    <w:autoRedefine/>
    <w:qFormat/>
    <w:rsid w:val="004924C1"/>
    <w:pPr>
      <w:numPr>
        <w:numId w:val="2"/>
      </w:numPr>
      <w:spacing w:before="120" w:after="120"/>
      <w:ind w:left="567" w:hanging="567"/>
    </w:pPr>
    <w:rPr>
      <w:rFonts w:cs="STIX Two Math"/>
      <w:b/>
      <w:bCs/>
    </w:rPr>
  </w:style>
  <w:style w:type="paragraph" w:styleId="Encabezado">
    <w:name w:val="header"/>
    <w:basedOn w:val="Normal"/>
    <w:link w:val="EncabezadoCar"/>
    <w:uiPriority w:val="99"/>
    <w:unhideWhenUsed/>
    <w:rsid w:val="00251EF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51EFE"/>
  </w:style>
  <w:style w:type="paragraph" w:customStyle="1" w:styleId="Encabezado2">
    <w:name w:val="Encabezado 2"/>
    <w:basedOn w:val="Encabezado1"/>
    <w:next w:val="Normal"/>
    <w:autoRedefine/>
    <w:qFormat/>
    <w:rsid w:val="004924C1"/>
    <w:pPr>
      <w:numPr>
        <w:ilvl w:val="1"/>
      </w:numPr>
      <w:spacing w:after="0"/>
      <w:ind w:left="567" w:hanging="567"/>
    </w:pPr>
  </w:style>
  <w:style w:type="character" w:customStyle="1" w:styleId="Ttulo1Car">
    <w:name w:val="Título 1 Car"/>
    <w:basedOn w:val="Fuentedeprrafopredeter"/>
    <w:link w:val="Ttulo1"/>
    <w:uiPriority w:val="9"/>
    <w:rsid w:val="004C5A27"/>
    <w:rPr>
      <w:rFonts w:ascii="Skeena" w:hAnsi="Skeena" w:cs="STIX Two Math"/>
      <w:b/>
      <w:bCs/>
      <w:sz w:val="20"/>
      <w:szCs w:val="20"/>
      <w:lang w:val="en-US"/>
    </w:rPr>
  </w:style>
  <w:style w:type="character" w:customStyle="1" w:styleId="Ttulo2Car">
    <w:name w:val="Título 2 Car"/>
    <w:basedOn w:val="Fuentedeprrafopredeter"/>
    <w:link w:val="Ttulo2"/>
    <w:uiPriority w:val="9"/>
    <w:rsid w:val="004C5C9A"/>
    <w:rPr>
      <w:rFonts w:ascii="Skeena" w:hAnsi="Skeena" w:cs="STIX Two Math"/>
      <w:b/>
      <w:bCs/>
      <w:sz w:val="20"/>
      <w:szCs w:val="20"/>
      <w:lang w:val="en-US"/>
    </w:rPr>
  </w:style>
  <w:style w:type="character" w:customStyle="1" w:styleId="Ttulo3Car">
    <w:name w:val="Título 3 Car"/>
    <w:basedOn w:val="Fuentedeprrafopredeter"/>
    <w:link w:val="Ttulo3"/>
    <w:uiPriority w:val="9"/>
    <w:semiHidden/>
    <w:rsid w:val="00171A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1A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1A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1A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1A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1A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1AC9"/>
    <w:rPr>
      <w:rFonts w:eastAsiaTheme="majorEastAsia" w:cstheme="majorBidi"/>
      <w:color w:val="272727" w:themeColor="text1" w:themeTint="D8"/>
    </w:rPr>
  </w:style>
  <w:style w:type="paragraph" w:styleId="Ttulo">
    <w:name w:val="Title"/>
    <w:basedOn w:val="Normal"/>
    <w:next w:val="Normal"/>
    <w:link w:val="TtuloCar"/>
    <w:uiPriority w:val="10"/>
    <w:qFormat/>
    <w:rsid w:val="004C5A27"/>
    <w:pPr>
      <w:spacing w:after="240"/>
    </w:pPr>
    <w:rPr>
      <w:b/>
      <w:bCs/>
      <w:sz w:val="22"/>
      <w:szCs w:val="22"/>
    </w:rPr>
  </w:style>
  <w:style w:type="character" w:customStyle="1" w:styleId="TtuloCar">
    <w:name w:val="Título Car"/>
    <w:basedOn w:val="Fuentedeprrafopredeter"/>
    <w:link w:val="Ttulo"/>
    <w:uiPriority w:val="10"/>
    <w:rsid w:val="004C5A27"/>
    <w:rPr>
      <w:rFonts w:ascii="Skeena" w:hAnsi="Skeena" w:cs="Centaur Now Display"/>
      <w:b/>
      <w:bCs/>
      <w:sz w:val="22"/>
      <w:szCs w:val="22"/>
      <w:lang w:val="en-US"/>
    </w:rPr>
  </w:style>
  <w:style w:type="paragraph" w:styleId="Subttulo">
    <w:name w:val="Subtitle"/>
    <w:basedOn w:val="Normal"/>
    <w:next w:val="Normal"/>
    <w:link w:val="SubttuloCar"/>
    <w:uiPriority w:val="11"/>
    <w:qFormat/>
    <w:rsid w:val="00171A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1A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1AC9"/>
    <w:pPr>
      <w:spacing w:before="160"/>
      <w:jc w:val="center"/>
    </w:pPr>
    <w:rPr>
      <w:i/>
      <w:iCs/>
      <w:color w:val="404040" w:themeColor="text1" w:themeTint="BF"/>
    </w:rPr>
  </w:style>
  <w:style w:type="character" w:customStyle="1" w:styleId="CitaCar">
    <w:name w:val="Cita Car"/>
    <w:basedOn w:val="Fuentedeprrafopredeter"/>
    <w:link w:val="Cita"/>
    <w:uiPriority w:val="29"/>
    <w:rsid w:val="00171AC9"/>
    <w:rPr>
      <w:i/>
      <w:iCs/>
      <w:color w:val="404040" w:themeColor="text1" w:themeTint="BF"/>
    </w:rPr>
  </w:style>
  <w:style w:type="paragraph" w:styleId="Prrafodelista">
    <w:name w:val="List Paragraph"/>
    <w:basedOn w:val="Normal"/>
    <w:uiPriority w:val="34"/>
    <w:qFormat/>
    <w:rsid w:val="00171AC9"/>
    <w:pPr>
      <w:ind w:left="720"/>
      <w:contextualSpacing/>
    </w:pPr>
  </w:style>
  <w:style w:type="character" w:styleId="nfasisintenso">
    <w:name w:val="Intense Emphasis"/>
    <w:basedOn w:val="Fuentedeprrafopredeter"/>
    <w:uiPriority w:val="21"/>
    <w:qFormat/>
    <w:rsid w:val="00171AC9"/>
    <w:rPr>
      <w:i/>
      <w:iCs/>
      <w:color w:val="0F4761" w:themeColor="accent1" w:themeShade="BF"/>
    </w:rPr>
  </w:style>
  <w:style w:type="paragraph" w:styleId="Citadestacada">
    <w:name w:val="Intense Quote"/>
    <w:basedOn w:val="Normal"/>
    <w:next w:val="Normal"/>
    <w:link w:val="CitadestacadaCar"/>
    <w:uiPriority w:val="30"/>
    <w:qFormat/>
    <w:rsid w:val="00171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1AC9"/>
    <w:rPr>
      <w:i/>
      <w:iCs/>
      <w:color w:val="0F4761" w:themeColor="accent1" w:themeShade="BF"/>
    </w:rPr>
  </w:style>
  <w:style w:type="character" w:styleId="Referenciaintensa">
    <w:name w:val="Intense Reference"/>
    <w:basedOn w:val="Fuentedeprrafopredeter"/>
    <w:uiPriority w:val="32"/>
    <w:qFormat/>
    <w:rsid w:val="00171AC9"/>
    <w:rPr>
      <w:b/>
      <w:bCs/>
      <w:smallCaps/>
      <w:color w:val="0F4761" w:themeColor="accent1" w:themeShade="BF"/>
      <w:spacing w:val="5"/>
    </w:rPr>
  </w:style>
  <w:style w:type="character" w:styleId="Hipervnculo">
    <w:name w:val="Hyperlink"/>
    <w:basedOn w:val="Fuentedeprrafopredeter"/>
    <w:uiPriority w:val="99"/>
    <w:unhideWhenUsed/>
    <w:rsid w:val="00171AC9"/>
    <w:rPr>
      <w:color w:val="467886" w:themeColor="hyperlink"/>
      <w:u w:val="single"/>
    </w:rPr>
  </w:style>
  <w:style w:type="character" w:styleId="Mencinsinresolver">
    <w:name w:val="Unresolved Mention"/>
    <w:basedOn w:val="Fuentedeprrafopredeter"/>
    <w:uiPriority w:val="99"/>
    <w:semiHidden/>
    <w:unhideWhenUsed/>
    <w:rsid w:val="00171AC9"/>
    <w:rPr>
      <w:color w:val="605E5C"/>
      <w:shd w:val="clear" w:color="auto" w:fill="E1DFDD"/>
    </w:rPr>
  </w:style>
  <w:style w:type="character" w:styleId="Referenciasutil">
    <w:name w:val="Subtle Reference"/>
    <w:uiPriority w:val="31"/>
    <w:qFormat/>
    <w:rsid w:val="00375088"/>
    <w:rPr>
      <w:sz w:val="18"/>
      <w:szCs w:val="18"/>
    </w:rPr>
  </w:style>
  <w:style w:type="paragraph" w:customStyle="1" w:styleId="normalchico">
    <w:name w:val="normal chico"/>
    <w:basedOn w:val="Normal"/>
    <w:next w:val="Normal"/>
    <w:qFormat/>
    <w:rsid w:val="00B1192C"/>
    <w:rPr>
      <w:sz w:val="16"/>
      <w:szCs w:val="16"/>
    </w:rPr>
  </w:style>
  <w:style w:type="character" w:styleId="Refdecomentario">
    <w:name w:val="annotation reference"/>
    <w:basedOn w:val="Fuentedeprrafopredeter"/>
    <w:uiPriority w:val="99"/>
    <w:semiHidden/>
    <w:unhideWhenUsed/>
    <w:rsid w:val="0019509D"/>
    <w:rPr>
      <w:sz w:val="16"/>
      <w:szCs w:val="16"/>
    </w:rPr>
  </w:style>
  <w:style w:type="paragraph" w:styleId="Piedepgina">
    <w:name w:val="footer"/>
    <w:basedOn w:val="Normal"/>
    <w:link w:val="PiedepginaCar"/>
    <w:uiPriority w:val="99"/>
    <w:unhideWhenUsed/>
    <w:rsid w:val="00EF59D8"/>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F59D8"/>
    <w:rPr>
      <w:rFonts w:ascii="Skeena" w:hAnsi="Skeena" w:cs="Centaur Now Display"/>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alopez5@uc.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3667</Words>
  <Characters>24386</Characters>
  <Application>Microsoft Office Word</Application>
  <DocSecurity>0</DocSecurity>
  <Lines>478</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Lopez Espejo</dc:creator>
  <cp:keywords/>
  <dc:description/>
  <cp:lastModifiedBy>Mauricio Lopez Espejo</cp:lastModifiedBy>
  <cp:revision>33</cp:revision>
  <dcterms:created xsi:type="dcterms:W3CDTF">2026-03-01T19:21:00Z</dcterms:created>
  <dcterms:modified xsi:type="dcterms:W3CDTF">2026-03-04T23:03:00Z</dcterms:modified>
</cp:coreProperties>
</file>