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D961" w14:textId="515BF7AB" w:rsidR="00E16A64" w:rsidRDefault="00E16A64" w:rsidP="00E16A64">
      <w:pPr>
        <w:pStyle w:val="NoSpacing"/>
      </w:pPr>
      <w:r>
        <w:t>8/1/24 Check pipetting, pH measurements, reproducibility, stability of pH sensor</w:t>
      </w:r>
    </w:p>
    <w:p w14:paraId="29E60FD9" w14:textId="77777777" w:rsidR="00E16A64" w:rsidRDefault="00E16A64" w:rsidP="00E16A64">
      <w:pPr>
        <w:pStyle w:val="NoSpacing"/>
      </w:pPr>
    </w:p>
    <w:p w14:paraId="25FA08C7" w14:textId="65D36E8C" w:rsidR="00E16A64" w:rsidRDefault="00E16A64" w:rsidP="00E16A64">
      <w:pPr>
        <w:pStyle w:val="NoSpacing"/>
      </w:pPr>
      <w:r>
        <w:t>Objectives:</w:t>
      </w:r>
    </w:p>
    <w:p w14:paraId="63939202" w14:textId="3F36D021" w:rsidR="00E16A64" w:rsidRDefault="00E16A64" w:rsidP="00E16A64">
      <w:pPr>
        <w:pStyle w:val="NoSpacing"/>
        <w:numPr>
          <w:ilvl w:val="0"/>
          <w:numId w:val="1"/>
        </w:numPr>
      </w:pPr>
      <w:r>
        <w:t>Adi and Miller’s prior results using the robot pipet to mix solutions. I will check results using the handheld pipets in my lab to make sure the robot pipetting is OK.</w:t>
      </w:r>
    </w:p>
    <w:p w14:paraId="5D591174" w14:textId="1922724A" w:rsidR="00E16A64" w:rsidRDefault="00E16A64" w:rsidP="00E16A64">
      <w:pPr>
        <w:pStyle w:val="NoSpacing"/>
        <w:numPr>
          <w:ilvl w:val="0"/>
          <w:numId w:val="1"/>
        </w:numPr>
      </w:pPr>
      <w:r>
        <w:t>Repeat Adi’s measurements. Adi first pipetted several acid/cbase ratios, then measured from low r to high r, let the plate sit overnight, then measured from high r to low r. Today I compared my results with Adi’s high</w:t>
      </w:r>
      <w:r w:rsidR="00111271">
        <w:t>-</w:t>
      </w:r>
      <w:r>
        <w:t>r</w:t>
      </w:r>
      <w:r w:rsidR="00111271">
        <w:t>-</w:t>
      </w:r>
      <w:r>
        <w:t>to</w:t>
      </w:r>
      <w:r w:rsidR="00111271">
        <w:t>-</w:t>
      </w:r>
      <w:r>
        <w:t>low</w:t>
      </w:r>
      <w:r w:rsidR="00111271">
        <w:t>-</w:t>
      </w:r>
      <w:r>
        <w:t>r results.</w:t>
      </w:r>
      <w:r w:rsidR="00111271">
        <w:t xml:space="preserve"> Also when Miller ran GP, he compared his GP results to Adi’s high-r-to-low-r results.</w:t>
      </w:r>
    </w:p>
    <w:p w14:paraId="4166285D" w14:textId="5D4ADF01" w:rsidR="00E16A64" w:rsidRDefault="00E16A64" w:rsidP="00E16A64">
      <w:pPr>
        <w:pStyle w:val="NoSpacing"/>
        <w:numPr>
          <w:ilvl w:val="0"/>
          <w:numId w:val="1"/>
        </w:numPr>
      </w:pPr>
      <w:r>
        <w:t>Conduct experiment in triplicate to check reproducibility.</w:t>
      </w:r>
    </w:p>
    <w:p w14:paraId="45508705" w14:textId="2EDB647C" w:rsidR="00E16A64" w:rsidRDefault="00E16A64" w:rsidP="00E16A64">
      <w:pPr>
        <w:pStyle w:val="NoSpacing"/>
        <w:numPr>
          <w:ilvl w:val="0"/>
          <w:numId w:val="1"/>
        </w:numPr>
      </w:pPr>
      <w:r>
        <w:t xml:space="preserve">Calibrate pH sensor before run. </w:t>
      </w:r>
      <w:r w:rsidR="00E5688D">
        <w:t xml:space="preserve">Standards in wells (3,0), (3,1). </w:t>
      </w:r>
      <w:r>
        <w:t>Then check calibration after run</w:t>
      </w:r>
      <w:r w:rsidR="00A90AC0">
        <w:t xml:space="preserve"> using fresh solutions</w:t>
      </w:r>
      <w:r w:rsidR="00E5688D">
        <w:t xml:space="preserve"> in wells (3,2), (3,3)</w:t>
      </w:r>
      <w:r>
        <w:t>.</w:t>
      </w:r>
    </w:p>
    <w:p w14:paraId="387EE34A" w14:textId="35F2002A" w:rsidR="00607B98" w:rsidRDefault="00607B98" w:rsidP="00E16A64">
      <w:pPr>
        <w:pStyle w:val="NoSpacing"/>
        <w:numPr>
          <w:ilvl w:val="0"/>
          <w:numId w:val="1"/>
        </w:numPr>
      </w:pPr>
      <w:r>
        <w:t xml:space="preserve">Check whether robot pipet tip hits bottom of cup </w:t>
      </w:r>
      <w:r w:rsidR="003A16D5">
        <w:t>–</w:t>
      </w:r>
      <w:r>
        <w:t xml:space="preserve"> NO</w:t>
      </w:r>
      <w:r w:rsidR="007F7A24">
        <w:t>, everything is OK</w:t>
      </w:r>
      <w:r w:rsidR="003A16D5">
        <w:t>.</w:t>
      </w:r>
    </w:p>
    <w:p w14:paraId="1A36ECA1" w14:textId="6D7A1333" w:rsidR="003A16D5" w:rsidRDefault="003A16D5" w:rsidP="00E16A64">
      <w:pPr>
        <w:pStyle w:val="NoSpacing"/>
        <w:numPr>
          <w:ilvl w:val="0"/>
          <w:numId w:val="1"/>
        </w:numPr>
      </w:pPr>
      <w:r>
        <w:t xml:space="preserve">Check how well cell_map.txt (version on Github) works. </w:t>
      </w:r>
      <w:r w:rsidR="00496407">
        <w:t>A little off in some places.</w:t>
      </w:r>
    </w:p>
    <w:p w14:paraId="4BF573BB" w14:textId="7D65B88A" w:rsidR="007F7A24" w:rsidRDefault="007F7A24" w:rsidP="00E16A64">
      <w:pPr>
        <w:pStyle w:val="NoSpacing"/>
        <w:numPr>
          <w:ilvl w:val="0"/>
          <w:numId w:val="1"/>
        </w:numPr>
      </w:pPr>
      <w:r>
        <w:t>Check protocol</w:t>
      </w:r>
      <w:r w:rsidR="00A6241B">
        <w:t xml:space="preserve"> written by Miller</w:t>
      </w:r>
    </w:p>
    <w:p w14:paraId="033D706F" w14:textId="77777777" w:rsidR="00E16A64" w:rsidRDefault="00E16A64" w:rsidP="00E16A64">
      <w:pPr>
        <w:pStyle w:val="NoSpacing"/>
      </w:pPr>
    </w:p>
    <w:p w14:paraId="1AB76698" w14:textId="77777777" w:rsidR="00607B98" w:rsidRDefault="00607B98" w:rsidP="00E16A6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755"/>
        <w:gridCol w:w="1755"/>
      </w:tblGrid>
      <w:tr w:rsidR="004117F5" w14:paraId="7FBCD749" w14:textId="77777777" w:rsidTr="00C65505">
        <w:tc>
          <w:tcPr>
            <w:tcW w:w="2245" w:type="dxa"/>
          </w:tcPr>
          <w:p w14:paraId="01219C16" w14:textId="77777777" w:rsidR="0057220B" w:rsidRDefault="003D2AC0" w:rsidP="00E16A64">
            <w:pPr>
              <w:pStyle w:val="NoSpacing"/>
            </w:pPr>
            <w:r>
              <w:t>Ratio</w:t>
            </w:r>
          </w:p>
          <w:p w14:paraId="2AA3AC68" w14:textId="016DA674" w:rsidR="004117F5" w:rsidRDefault="003D2AC0" w:rsidP="00E16A64">
            <w:pPr>
              <w:pStyle w:val="NoSpacing"/>
            </w:pPr>
            <w:r>
              <w:t>(vol acid / vol base)</w:t>
            </w:r>
          </w:p>
        </w:tc>
        <w:tc>
          <w:tcPr>
            <w:tcW w:w="1755" w:type="dxa"/>
          </w:tcPr>
          <w:p w14:paraId="6419E7CC" w14:textId="30F30B37" w:rsidR="004117F5" w:rsidRDefault="003D2AC0" w:rsidP="00E16A64">
            <w:pPr>
              <w:pStyle w:val="NoSpacing"/>
            </w:pPr>
            <w:r>
              <w:t>Vol acid (ml)</w:t>
            </w:r>
          </w:p>
        </w:tc>
        <w:tc>
          <w:tcPr>
            <w:tcW w:w="1755" w:type="dxa"/>
          </w:tcPr>
          <w:p w14:paraId="50DE6B07" w14:textId="31CC7C7E" w:rsidR="004117F5" w:rsidRDefault="00FF5AEE" w:rsidP="00E16A64">
            <w:pPr>
              <w:pStyle w:val="NoSpacing"/>
            </w:pPr>
            <w:r>
              <w:t xml:space="preserve">Vol </w:t>
            </w:r>
            <w:r w:rsidR="00916F80">
              <w:t>c</w:t>
            </w:r>
            <w:r>
              <w:t>base (ml)</w:t>
            </w:r>
          </w:p>
        </w:tc>
      </w:tr>
      <w:tr w:rsidR="004117F5" w14:paraId="088B5CCA" w14:textId="77777777" w:rsidTr="00C65505">
        <w:tc>
          <w:tcPr>
            <w:tcW w:w="2245" w:type="dxa"/>
          </w:tcPr>
          <w:p w14:paraId="0A9C135E" w14:textId="112231A3" w:rsidR="004117F5" w:rsidRDefault="00FF5AEE" w:rsidP="00FF5AEE">
            <w:pPr>
              <w:pStyle w:val="NoSpacing"/>
              <w:jc w:val="right"/>
            </w:pPr>
            <w:r>
              <w:t>0.1</w:t>
            </w:r>
          </w:p>
        </w:tc>
        <w:tc>
          <w:tcPr>
            <w:tcW w:w="1755" w:type="dxa"/>
          </w:tcPr>
          <w:p w14:paraId="209FBCC4" w14:textId="3715FF52" w:rsidR="004117F5" w:rsidRDefault="0057220B" w:rsidP="00E16A64">
            <w:pPr>
              <w:pStyle w:val="NoSpacing"/>
            </w:pPr>
            <w:r>
              <w:t>0.1818</w:t>
            </w:r>
          </w:p>
        </w:tc>
        <w:tc>
          <w:tcPr>
            <w:tcW w:w="1755" w:type="dxa"/>
          </w:tcPr>
          <w:p w14:paraId="2B1966D9" w14:textId="22D68809" w:rsidR="004117F5" w:rsidRDefault="00C65505" w:rsidP="00E16A64">
            <w:pPr>
              <w:pStyle w:val="NoSpacing"/>
            </w:pPr>
            <w:r>
              <w:t>1.818</w:t>
            </w:r>
          </w:p>
        </w:tc>
      </w:tr>
      <w:tr w:rsidR="004117F5" w14:paraId="412EE0E5" w14:textId="77777777" w:rsidTr="00C65505">
        <w:tc>
          <w:tcPr>
            <w:tcW w:w="2245" w:type="dxa"/>
          </w:tcPr>
          <w:p w14:paraId="65736F92" w14:textId="15EE2D9B" w:rsidR="004117F5" w:rsidRDefault="00FF5AEE" w:rsidP="00FF5AEE">
            <w:pPr>
              <w:pStyle w:val="NoSpacing"/>
              <w:jc w:val="right"/>
            </w:pPr>
            <w:r>
              <w:t>1.0</w:t>
            </w:r>
          </w:p>
        </w:tc>
        <w:tc>
          <w:tcPr>
            <w:tcW w:w="1755" w:type="dxa"/>
          </w:tcPr>
          <w:p w14:paraId="188C2B1A" w14:textId="3355B5D1" w:rsidR="004117F5" w:rsidRDefault="0057220B" w:rsidP="00E16A64">
            <w:pPr>
              <w:pStyle w:val="NoSpacing"/>
            </w:pPr>
            <w:r>
              <w:t>1.000</w:t>
            </w:r>
          </w:p>
        </w:tc>
        <w:tc>
          <w:tcPr>
            <w:tcW w:w="1755" w:type="dxa"/>
          </w:tcPr>
          <w:p w14:paraId="545E4FF9" w14:textId="2E835C34" w:rsidR="004117F5" w:rsidRDefault="00C65505" w:rsidP="00E16A64">
            <w:pPr>
              <w:pStyle w:val="NoSpacing"/>
            </w:pPr>
            <w:r>
              <w:t>1.000</w:t>
            </w:r>
          </w:p>
        </w:tc>
      </w:tr>
      <w:tr w:rsidR="004117F5" w14:paraId="6048EF74" w14:textId="77777777" w:rsidTr="00C65505">
        <w:tc>
          <w:tcPr>
            <w:tcW w:w="2245" w:type="dxa"/>
          </w:tcPr>
          <w:p w14:paraId="3E767813" w14:textId="52FBFFC6" w:rsidR="004117F5" w:rsidRDefault="00FF5AEE" w:rsidP="00FF5AEE">
            <w:pPr>
              <w:pStyle w:val="NoSpacing"/>
              <w:jc w:val="right"/>
            </w:pPr>
            <w:r>
              <w:t>12.8</w:t>
            </w:r>
          </w:p>
        </w:tc>
        <w:tc>
          <w:tcPr>
            <w:tcW w:w="1755" w:type="dxa"/>
          </w:tcPr>
          <w:p w14:paraId="61E9444C" w14:textId="773D1DBF" w:rsidR="004117F5" w:rsidRDefault="0057220B" w:rsidP="00E16A64">
            <w:pPr>
              <w:pStyle w:val="NoSpacing"/>
            </w:pPr>
            <w:r>
              <w:t>1.8551</w:t>
            </w:r>
          </w:p>
        </w:tc>
        <w:tc>
          <w:tcPr>
            <w:tcW w:w="1755" w:type="dxa"/>
          </w:tcPr>
          <w:p w14:paraId="4CEDF7D1" w14:textId="542FD938" w:rsidR="004117F5" w:rsidRDefault="00C65505" w:rsidP="00E16A64">
            <w:pPr>
              <w:pStyle w:val="NoSpacing"/>
            </w:pPr>
            <w:r>
              <w:t>.1449</w:t>
            </w:r>
          </w:p>
        </w:tc>
      </w:tr>
    </w:tbl>
    <w:p w14:paraId="43677D4A" w14:textId="77777777" w:rsidR="00E16A64" w:rsidRDefault="00E16A64" w:rsidP="00E16A64">
      <w:pPr>
        <w:pStyle w:val="NoSpacing"/>
      </w:pPr>
    </w:p>
    <w:p w14:paraId="7152E5B6" w14:textId="2B851F07" w:rsidR="00A600D7" w:rsidRDefault="00A600D7" w:rsidP="00E16A64">
      <w:pPr>
        <w:pStyle w:val="NoSpacing"/>
      </w:pPr>
      <w:r>
        <w:t>V</w:t>
      </w:r>
      <w:r>
        <w:rPr>
          <w:vertAlign w:val="subscript"/>
        </w:rPr>
        <w:t>tot</w:t>
      </w:r>
      <w:r>
        <w:t xml:space="preserve"> = 2 ml = V</w:t>
      </w:r>
      <w:r>
        <w:rPr>
          <w:vertAlign w:val="subscript"/>
        </w:rPr>
        <w:t>acid</w:t>
      </w:r>
      <w:r>
        <w:t xml:space="preserve"> + V</w:t>
      </w:r>
      <w:r>
        <w:rPr>
          <w:vertAlign w:val="subscript"/>
        </w:rPr>
        <w:t>base</w:t>
      </w:r>
    </w:p>
    <w:p w14:paraId="1197FE97" w14:textId="5F6C5D62" w:rsidR="00A600D7" w:rsidRDefault="00A600D7" w:rsidP="00E16A64">
      <w:pPr>
        <w:pStyle w:val="NoSpacing"/>
      </w:pPr>
      <w:r>
        <w:t>R = V</w:t>
      </w:r>
      <w:r>
        <w:rPr>
          <w:vertAlign w:val="subscript"/>
        </w:rPr>
        <w:t>acid</w:t>
      </w:r>
      <w:r>
        <w:t xml:space="preserve"> /V</w:t>
      </w:r>
      <w:r>
        <w:rPr>
          <w:vertAlign w:val="subscript"/>
        </w:rPr>
        <w:t>base</w:t>
      </w:r>
    </w:p>
    <w:p w14:paraId="5E7C9952" w14:textId="6741EFBC" w:rsidR="00A600D7" w:rsidRDefault="00A600D7" w:rsidP="00E16A64">
      <w:pPr>
        <w:pStyle w:val="NoSpacing"/>
      </w:pPr>
      <w:r>
        <w:sym w:font="Wingdings" w:char="F0E0"/>
      </w:r>
      <w:r>
        <w:t xml:space="preserve"> V</w:t>
      </w:r>
      <w:r>
        <w:rPr>
          <w:vertAlign w:val="subscript"/>
        </w:rPr>
        <w:t>base</w:t>
      </w:r>
      <w:r>
        <w:t xml:space="preserve"> = </w:t>
      </w:r>
      <w:r w:rsidR="00AA58E4">
        <w:t>2/(1 + r)  and V</w:t>
      </w:r>
      <w:r w:rsidR="00AA58E4">
        <w:rPr>
          <w:vertAlign w:val="subscript"/>
        </w:rPr>
        <w:t>acid</w:t>
      </w:r>
      <w:r w:rsidR="00AA58E4">
        <w:t xml:space="preserve"> = 2r/(1 + r)</w:t>
      </w:r>
    </w:p>
    <w:p w14:paraId="52F576CC" w14:textId="77777777" w:rsidR="00916F80" w:rsidRDefault="00916F80" w:rsidP="00E16A64">
      <w:pPr>
        <w:pStyle w:val="NoSpacing"/>
      </w:pPr>
    </w:p>
    <w:p w14:paraId="41542A76" w14:textId="079CF98D" w:rsidR="00916F80" w:rsidRDefault="00916F80" w:rsidP="00E16A64">
      <w:pPr>
        <w:pStyle w:val="NoSpacing"/>
      </w:pPr>
      <w:r>
        <w:t>Stock solutions: 0.1 M acetic acid; 0.1 M sodium acetate</w:t>
      </w:r>
    </w:p>
    <w:p w14:paraId="42118B94" w14:textId="4E7EB15F" w:rsidR="00496407" w:rsidRDefault="00496407" w:rsidP="00E16A64">
      <w:pPr>
        <w:pStyle w:val="NoSpacing"/>
      </w:pPr>
      <w:r>
        <w:t>Solutions in wells were prepared ahead of time and used within ~2 hrs.</w:t>
      </w:r>
    </w:p>
    <w:p w14:paraId="406B3034" w14:textId="77777777" w:rsidR="00916F80" w:rsidRDefault="00916F80" w:rsidP="00E16A64">
      <w:pPr>
        <w:pStyle w:val="NoSpacing"/>
      </w:pPr>
    </w:p>
    <w:p w14:paraId="5423393F" w14:textId="021E475E" w:rsidR="00916F80" w:rsidRDefault="00916F80" w:rsidP="00E16A64">
      <w:pPr>
        <w:pStyle w:val="NoSpacing"/>
      </w:pPr>
      <w:r>
        <w:t xml:space="preserve">Adi’s </w:t>
      </w:r>
      <w:r w:rsidR="0024150F">
        <w:t xml:space="preserve">previous </w:t>
      </w:r>
      <w:r>
        <w:t>fit: pH = 4.43 – log [acid]/[cbase]</w:t>
      </w:r>
      <w:r w:rsidR="00884E6B">
        <w:t xml:space="preserve"> = 4.43 – log V</w:t>
      </w:r>
      <w:r w:rsidR="00884E6B">
        <w:rPr>
          <w:vertAlign w:val="subscript"/>
        </w:rPr>
        <w:t>acid</w:t>
      </w:r>
      <w:r w:rsidR="00884E6B">
        <w:t xml:space="preserve"> / V</w:t>
      </w:r>
      <w:r w:rsidR="00884E6B">
        <w:rPr>
          <w:vertAlign w:val="subscript"/>
        </w:rPr>
        <w:t>cbase</w:t>
      </w:r>
    </w:p>
    <w:p w14:paraId="48211603" w14:textId="77777777" w:rsidR="00884E6B" w:rsidRDefault="00884E6B" w:rsidP="00E16A64">
      <w:pPr>
        <w:pStyle w:val="NoSpacing"/>
      </w:pPr>
    </w:p>
    <w:p w14:paraId="036B5879" w14:textId="5A9F46B3" w:rsidR="00833811" w:rsidRPr="00884E6B" w:rsidRDefault="00833811" w:rsidP="00E16A64">
      <w:pPr>
        <w:pStyle w:val="NoSpacing"/>
      </w:pPr>
      <w:r w:rsidRPr="00833811">
        <w:drawing>
          <wp:inline distT="0" distB="0" distL="0" distR="0" wp14:anchorId="2B6837CA" wp14:editId="4B927E28">
            <wp:extent cx="5943600" cy="6582410"/>
            <wp:effectExtent l="0" t="0" r="0" b="8890"/>
            <wp:docPr id="751468680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68680" name="Picture 1" descr="A paper with writing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811" w:rsidRPr="00884E6B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D6A9C" w14:textId="77777777" w:rsidR="00E16A64" w:rsidRDefault="00E16A64" w:rsidP="00E16A64">
      <w:pPr>
        <w:spacing w:after="0" w:line="240" w:lineRule="auto"/>
      </w:pPr>
      <w:r>
        <w:separator/>
      </w:r>
    </w:p>
  </w:endnote>
  <w:endnote w:type="continuationSeparator" w:id="0">
    <w:p w14:paraId="6DA5235F" w14:textId="77777777" w:rsidR="00E16A64" w:rsidRDefault="00E16A64" w:rsidP="00E16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E6874" w14:textId="668282B8" w:rsidR="00E16A64" w:rsidRDefault="00E16A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DDBA3D" wp14:editId="3406843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324100" cy="370205"/>
              <wp:effectExtent l="0" t="0" r="0" b="0"/>
              <wp:wrapNone/>
              <wp:docPr id="2045193625" name="Text Box 2" descr="Loyola University Maryland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4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C4F9F2" w14:textId="41B55FE1" w:rsidR="00E16A64" w:rsidRPr="00E16A64" w:rsidRDefault="00E16A64" w:rsidP="00E16A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6A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Loyola University Maryland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DDB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Loyola University Maryland Internal Use Only" style="position:absolute;margin-left:0;margin-top:0;width:18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0AC4F9F2" w14:textId="41B55FE1" w:rsidR="00E16A64" w:rsidRPr="00E16A64" w:rsidRDefault="00E16A64" w:rsidP="00E16A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6A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Loyola University Maryland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01B11" w14:textId="3AC26714" w:rsidR="00E16A64" w:rsidRDefault="00E16A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F93E1C" wp14:editId="288924B2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324100" cy="370205"/>
              <wp:effectExtent l="0" t="0" r="0" b="0"/>
              <wp:wrapNone/>
              <wp:docPr id="580355525" name="Text Box 3" descr="Loyola University Maryland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4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A897E7" w14:textId="6AD87838" w:rsidR="00E16A64" w:rsidRPr="00E16A64" w:rsidRDefault="00E16A64" w:rsidP="00E16A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6A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Loyola University Maryland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F93E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Loyola University Maryland Internal Use Only" style="position:absolute;margin-left:0;margin-top:0;width:18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7CA897E7" w14:textId="6AD87838" w:rsidR="00E16A64" w:rsidRPr="00E16A64" w:rsidRDefault="00E16A64" w:rsidP="00E16A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6A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Loyola University Maryland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D3FCC" w14:textId="335E66E2" w:rsidR="00E16A64" w:rsidRDefault="00E16A6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9DBC20" wp14:editId="032F8E7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324100" cy="370205"/>
              <wp:effectExtent l="0" t="0" r="0" b="0"/>
              <wp:wrapNone/>
              <wp:docPr id="735908214" name="Text Box 1" descr="Loyola University Maryland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4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7C56BF" w14:textId="7D18AA1C" w:rsidR="00E16A64" w:rsidRPr="00E16A64" w:rsidRDefault="00E16A64" w:rsidP="00E16A6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6A6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Loyola University Maryland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DBC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Loyola University Maryland Internal Use Only" style="position:absolute;margin-left:0;margin-top:0;width:18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407C56BF" w14:textId="7D18AA1C" w:rsidR="00E16A64" w:rsidRPr="00E16A64" w:rsidRDefault="00E16A64" w:rsidP="00E16A6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6A6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Loyola University Maryland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4B0A9" w14:textId="77777777" w:rsidR="00E16A64" w:rsidRDefault="00E16A64" w:rsidP="00E16A64">
      <w:pPr>
        <w:spacing w:after="0" w:line="240" w:lineRule="auto"/>
      </w:pPr>
      <w:r>
        <w:separator/>
      </w:r>
    </w:p>
  </w:footnote>
  <w:footnote w:type="continuationSeparator" w:id="0">
    <w:p w14:paraId="268ECD63" w14:textId="77777777" w:rsidR="00E16A64" w:rsidRDefault="00E16A64" w:rsidP="00E16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B61C1"/>
    <w:multiLevelType w:val="hybridMultilevel"/>
    <w:tmpl w:val="0DA4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83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64"/>
    <w:rsid w:val="000F1ED0"/>
    <w:rsid w:val="00111271"/>
    <w:rsid w:val="0024150F"/>
    <w:rsid w:val="003A16D5"/>
    <w:rsid w:val="003D2AC0"/>
    <w:rsid w:val="004117F5"/>
    <w:rsid w:val="00496407"/>
    <w:rsid w:val="004A6FDD"/>
    <w:rsid w:val="0057220B"/>
    <w:rsid w:val="00607B98"/>
    <w:rsid w:val="007F7A24"/>
    <w:rsid w:val="00833811"/>
    <w:rsid w:val="00884E6B"/>
    <w:rsid w:val="00916F80"/>
    <w:rsid w:val="00A3753C"/>
    <w:rsid w:val="00A600D7"/>
    <w:rsid w:val="00A6241B"/>
    <w:rsid w:val="00A90AC0"/>
    <w:rsid w:val="00AA58E4"/>
    <w:rsid w:val="00C65505"/>
    <w:rsid w:val="00E16A64"/>
    <w:rsid w:val="00E5688D"/>
    <w:rsid w:val="00FF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A55D"/>
  <w15:chartTrackingRefBased/>
  <w15:docId w15:val="{C9A6F8A5-DD81-4822-BE9D-AE4BDB92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A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6A6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6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A64"/>
  </w:style>
  <w:style w:type="table" w:styleId="TableGrid">
    <w:name w:val="Table Grid"/>
    <w:basedOn w:val="TableNormal"/>
    <w:uiPriority w:val="39"/>
    <w:rsid w:val="00411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208</Words>
  <Characters>1186</Characters>
  <Application>Microsoft Office Word</Application>
  <DocSecurity>0</DocSecurity>
  <Lines>9</Lines>
  <Paragraphs>2</Paragraphs>
  <ScaleCrop>false</ScaleCrop>
  <Company>Loyola University Maryland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Lowe</dc:creator>
  <cp:keywords/>
  <dc:description/>
  <cp:lastModifiedBy>Mary Lowe</cp:lastModifiedBy>
  <cp:revision>22</cp:revision>
  <cp:lastPrinted>2024-08-01T21:26:00Z</cp:lastPrinted>
  <dcterms:created xsi:type="dcterms:W3CDTF">2024-08-01T18:14:00Z</dcterms:created>
  <dcterms:modified xsi:type="dcterms:W3CDTF">2024-08-01T21:32:00Z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2bdd1176,79e72d99,229785c5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Loyola University Maryland Internal Use Only</vt:lpwstr>
  </property>
  <property fmtid="{D5CDD505-2E9C-101B-9397-08002B2CF9AE}" pid="5" name="MSIP_Label_6da50fe2-ad8e-4b2e-b16c-4bb0954d6763_Enabled">
    <vt:lpwstr>true</vt:lpwstr>
  </property>
  <property fmtid="{D5CDD505-2E9C-101B-9397-08002B2CF9AE}" pid="6" name="MSIP_Label_6da50fe2-ad8e-4b2e-b16c-4bb0954d6763_SetDate">
    <vt:lpwstr>2024-08-01T18:19:37Z</vt:lpwstr>
  </property>
  <property fmtid="{D5CDD505-2E9C-101B-9397-08002B2CF9AE}" pid="7" name="MSIP_Label_6da50fe2-ad8e-4b2e-b16c-4bb0954d6763_Method">
    <vt:lpwstr>Standard</vt:lpwstr>
  </property>
  <property fmtid="{D5CDD505-2E9C-101B-9397-08002B2CF9AE}" pid="8" name="MSIP_Label_6da50fe2-ad8e-4b2e-b16c-4bb0954d6763_Name">
    <vt:lpwstr>Internal</vt:lpwstr>
  </property>
  <property fmtid="{D5CDD505-2E9C-101B-9397-08002B2CF9AE}" pid="9" name="MSIP_Label_6da50fe2-ad8e-4b2e-b16c-4bb0954d6763_SiteId">
    <vt:lpwstr>30ae0a8f-3cdf-44fd-af34-278bf639b85d</vt:lpwstr>
  </property>
  <property fmtid="{D5CDD505-2E9C-101B-9397-08002B2CF9AE}" pid="10" name="MSIP_Label_6da50fe2-ad8e-4b2e-b16c-4bb0954d6763_ActionId">
    <vt:lpwstr>ea87f1e0-ed05-4868-a7e7-bdc2a7101d3e</vt:lpwstr>
  </property>
  <property fmtid="{D5CDD505-2E9C-101B-9397-08002B2CF9AE}" pid="11" name="MSIP_Label_6da50fe2-ad8e-4b2e-b16c-4bb0954d6763_ContentBits">
    <vt:lpwstr>2</vt:lpwstr>
  </property>
</Properties>
</file>