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5692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dar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69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Manual do usuário com exemplo NoSeuTempo</w:t>
      </w:r>
    </w:p>
    <w:p>
      <w:pPr>
        <w:pStyle w:val="Title"/>
      </w:pPr>
      <w:r>
        <w:t>Como usar o Cacarejar do diagnóstico ao acompanhamento</w:t>
      </w:r>
    </w:p>
    <w:p>
      <w:r>
        <w:t>Este documento mostra o fluxo da plataforma usando o NoSeuTempo como cliente modelo.</w:t>
      </w:r>
    </w:p>
    <w:p>
      <w:pPr>
        <w:pStyle w:val="Heading1"/>
      </w:pPr>
      <w:r>
        <w:t>1. Preencher o diagnóstico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diagnostico-preenchid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2. Ler o parecer e a prescrição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diagnostico-resultad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Explorar a Visão 360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visao-36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Ensinar o Radar com feedbacks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radar-feedbac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Aprovar posts e verba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aprovacao-pos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Ler campanhas e métricas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campanhas-metrica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Registrar evolução</w:t>
      </w:r>
    </w:p>
    <w:p>
      <w:r>
        <w:drawing>
          <wp:inline xmlns:a="http://schemas.openxmlformats.org/drawingml/2006/main" xmlns:pic="http://schemas.openxmlformats.org/drawingml/2006/picture">
            <wp:extent cx="6035040" cy="339471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acompanha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9471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304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