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Patrick Kabugap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