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300"/>
        <w:jc w:val="center"/>
        <w:rPr/>
      </w:pPr>
      <w:r>
        <w:rPr/>
        <w:drawing>
          <wp:inline distT="0" distB="0" distL="0" distR="0">
            <wp:extent cx="5334000" cy="3552825"/>
            <wp:effectExtent l="0" t="0" r="0" b="0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jc w:val="center"/>
        <w:rPr/>
      </w:pPr>
      <w:r>
        <w:rPr>
          <w:rFonts w:eastAsia="Calibri" w:cs="Calibri" w:ascii="Calibri" w:hAnsi="Calibri"/>
          <w:b/>
          <w:bCs/>
          <w:color w:val="B8863C"/>
          <w:spacing w:val="30"/>
          <w:sz w:val="18"/>
          <w:szCs w:val="18"/>
        </w:rPr>
        <w:t>PROJETO DE ANÁLISE DE DADOS</w:t>
      </w:r>
    </w:p>
    <w:p>
      <w:pPr>
        <w:pStyle w:val="Normal"/>
        <w:spacing w:before="60" w:after="0"/>
        <w:jc w:val="center"/>
        <w:rPr/>
      </w:pPr>
      <w:r>
        <w:rPr>
          <w:rFonts w:eastAsia="Calibri" w:cs="Calibri" w:ascii="Calibri" w:hAnsi="Calibri"/>
          <w:b/>
          <w:bCs/>
          <w:color w:val="1F5C4A"/>
          <w:sz w:val="44"/>
          <w:szCs w:val="44"/>
        </w:rPr>
        <w:t>Mercado de Energia Elétrica</w:t>
      </w:r>
    </w:p>
    <w:p>
      <w:pPr>
        <w:pStyle w:val="Normal"/>
        <w:spacing w:before="0" w:after="300"/>
        <w:jc w:val="center"/>
        <w:rPr/>
      </w:pPr>
      <w:r>
        <w:rPr>
          <w:rFonts w:eastAsia="Calibri" w:cs="Calibri" w:ascii="Calibri" w:hAnsi="Calibri"/>
          <w:b/>
          <w:bCs/>
          <w:color w:val="1F5C4A"/>
          <w:sz w:val="44"/>
          <w:szCs w:val="44"/>
        </w:rPr>
        <w:t>de Santa Catarina</w:t>
      </w:r>
    </w:p>
    <w:p>
      <w:pPr>
        <w:pStyle w:val="Normal"/>
        <w:spacing w:before="0" w:after="500"/>
        <w:jc w:val="center"/>
        <w:rPr/>
      </w:pPr>
      <w:r>
        <w:rPr>
          <w:rFonts w:eastAsia="Calibri" w:cs="Calibri" w:ascii="Calibri" w:hAnsi="Calibri"/>
          <w:i/>
          <w:iCs/>
          <w:color w:val="6B6B6B"/>
          <w:sz w:val="24"/>
          <w:szCs w:val="24"/>
        </w:rPr>
        <w:t>um primeiro retrato do estado, construído pergunta por pergunta</w:t>
      </w:r>
    </w:p>
    <w:p>
      <w:pPr>
        <w:pStyle w:val="Normal"/>
        <w:spacing w:before="900" w:after="0"/>
        <w:jc w:val="center"/>
        <w:rPr/>
      </w:pPr>
      <w:r>
        <w:rPr>
          <w:rFonts w:eastAsia="Calibri" w:cs="Calibri" w:ascii="Calibri" w:hAnsi="Calibri"/>
          <w:b/>
          <w:bCs/>
          <w:color w:val="2B2B2B"/>
          <w:sz w:val="22"/>
          <w:szCs w:val="22"/>
        </w:rPr>
        <w:t>Maria Laura</w:t>
      </w:r>
    </w:p>
    <w:p>
      <w:pPr>
        <w:pStyle w:val="Normal"/>
        <w:spacing w:before="0" w:after="0"/>
        <w:jc w:val="center"/>
        <w:rPr/>
      </w:pPr>
      <w:r>
        <w:rPr>
          <w:rFonts w:eastAsia="Calibri" w:cs="Calibri" w:ascii="Calibri" w:hAnsi="Calibri"/>
          <w:color w:val="6B6B6B"/>
          <w:sz w:val="20"/>
          <w:szCs w:val="20"/>
        </w:rPr>
        <w:t>Fase Exploratória · Fonte: CELESC (1994–2026)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1F5C4A"/>
        </w:pBdr>
        <w:spacing w:before="0" w:after="200"/>
        <w:rPr/>
      </w:pPr>
      <w:r>
        <w:rPr>
          <w:rFonts w:eastAsia="Calibri" w:cs="Calibri" w:ascii="Calibri" w:hAnsi="Calibri"/>
          <w:b/>
          <w:bCs/>
          <w:color w:val="1F5C4A"/>
          <w:sz w:val="30"/>
          <w:szCs w:val="30"/>
        </w:rPr>
        <w:t>Onde estamos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>Quatro perguntas de pesquisa depois, já dá para dizer: temos um primeiro retrato do mercado de energia elétrica catarinense. Nada definitivo, essa é só a fase exploratória, mas já é possível enxergar contornos bem nítidos de como Santa Catarina consome (e cresce em) energia.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 xml:space="preserve">A base é a série histórica da CELESC, com registros mensais de consumo (em MWh) e de número de Unidades Consumidoras (UCs) para os municípios catarinenses, cobrindo o período de janeiro de 1994 a março de 2026. O rigor está nos números; a ideia aqui é contar o que </w:t>
      </w: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 xml:space="preserve">os dados </w:t>
      </w: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>disseram.</w:t>
      </w:r>
    </w:p>
    <w:tbl>
      <w:tblPr>
        <w:tblW w:w="97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900"/>
        <w:gridCol w:w="3100"/>
        <w:gridCol w:w="3700"/>
      </w:tblGrid>
      <w:tr>
        <w:trPr>
          <w:tblHeader w:val="true"/>
        </w:trPr>
        <w:tc>
          <w:tcPr>
            <w:tcW w:w="29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1F5C4A" w:val="clear"/>
            <w:vAlign w:val="cente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Pergunta</w:t>
            </w:r>
          </w:p>
        </w:tc>
        <w:tc>
          <w:tcPr>
            <w:tcW w:w="31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1F5C4A" w:val="clear"/>
            <w:vAlign w:val="cente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O que investigou</w:t>
            </w:r>
          </w:p>
        </w:tc>
        <w:tc>
          <w:tcPr>
            <w:tcW w:w="37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1F5C4A" w:val="clear"/>
            <w:vAlign w:val="cente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Principal descoberta</w:t>
            </w:r>
          </w:p>
        </w:tc>
      </w:tr>
      <w:tr>
        <w:trPr/>
        <w:tc>
          <w:tcPr>
            <w:tcW w:w="29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B2B2B"/>
                <w:sz w:val="19"/>
                <w:szCs w:val="19"/>
              </w:rPr>
              <w:t>1 · Distribuição municipal</w:t>
            </w:r>
          </w:p>
        </w:tc>
        <w:tc>
          <w:tcPr>
            <w:tcW w:w="31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B2B2B"/>
                <w:sz w:val="19"/>
                <w:szCs w:val="19"/>
              </w:rPr>
              <w:t>Como o consumo se espalha entre os municípios de SC.</w:t>
            </w:r>
          </w:p>
        </w:tc>
        <w:tc>
          <w:tcPr>
            <w:tcW w:w="37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B2B2B"/>
                <w:sz w:val="19"/>
                <w:szCs w:val="19"/>
              </w:rPr>
              <w:t>Consumo concentrado: Joinville lidera, seguido por Florianópolis e Blumenau.</w:t>
            </w:r>
          </w:p>
        </w:tc>
      </w:tr>
      <w:tr>
        <w:trPr/>
        <w:tc>
          <w:tcPr>
            <w:tcW w:w="29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E7EFEA" w:val="clear"/>
            <w:vAlign w:val="cente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B2B2B"/>
                <w:sz w:val="19"/>
                <w:szCs w:val="19"/>
              </w:rPr>
              <w:t>2 · Evolução temporal</w:t>
            </w:r>
          </w:p>
        </w:tc>
        <w:tc>
          <w:tcPr>
            <w:tcW w:w="31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E7EFEA" w:val="clear"/>
            <w:vAlign w:val="cente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B2B2B"/>
                <w:sz w:val="19"/>
                <w:szCs w:val="19"/>
              </w:rPr>
              <w:t>Como o consumo mudou entre 1994 e 2026.</w:t>
            </w:r>
          </w:p>
        </w:tc>
        <w:tc>
          <w:tcPr>
            <w:tcW w:w="37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E7EFEA" w:val="clear"/>
            <w:vAlign w:val="cente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B2B2B"/>
                <w:sz w:val="19"/>
                <w:szCs w:val="19"/>
              </w:rPr>
              <w:t>Crescimento consistente: de ~650 mil para ~3 milhões de MWh/mês, com sazonalidade.</w:t>
            </w:r>
          </w:p>
        </w:tc>
      </w:tr>
      <w:tr>
        <w:trPr/>
        <w:tc>
          <w:tcPr>
            <w:tcW w:w="29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B2B2B"/>
                <w:sz w:val="19"/>
                <w:szCs w:val="19"/>
              </w:rPr>
              <w:t>3 · Distribuição regional</w:t>
            </w:r>
          </w:p>
        </w:tc>
        <w:tc>
          <w:tcPr>
            <w:tcW w:w="31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B2B2B"/>
                <w:sz w:val="19"/>
                <w:szCs w:val="19"/>
              </w:rPr>
              <w:t>Como o consumo se agrupa por Região Geográfica Intermediária.</w:t>
            </w:r>
          </w:p>
        </w:tc>
        <w:tc>
          <w:tcPr>
            <w:tcW w:w="37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B2B2B"/>
                <w:sz w:val="19"/>
                <w:szCs w:val="19"/>
              </w:rPr>
              <w:t>Florianópolis, Joinville e Blumenau concentram a maior parte do consumo estadual.</w:t>
            </w:r>
          </w:p>
        </w:tc>
      </w:tr>
      <w:tr>
        <w:trPr/>
        <w:tc>
          <w:tcPr>
            <w:tcW w:w="29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E7EFEA" w:val="clear"/>
            <w:vAlign w:val="cente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B2B2B"/>
                <w:sz w:val="19"/>
                <w:szCs w:val="19"/>
              </w:rPr>
              <w:t>4 · Distribuição das UCs</w:t>
            </w:r>
          </w:p>
        </w:tc>
        <w:tc>
          <w:tcPr>
            <w:tcW w:w="31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E7EFEA" w:val="clear"/>
            <w:vAlign w:val="cente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B2B2B"/>
                <w:sz w:val="19"/>
                <w:szCs w:val="19"/>
              </w:rPr>
              <w:t>Como as Unidades Consumidoras se distribuem regionalmente.</w:t>
            </w:r>
          </w:p>
        </w:tc>
        <w:tc>
          <w:tcPr>
            <w:tcW w:w="37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E7EFEA" w:val="clear"/>
            <w:vAlign w:val="cente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B2B2B"/>
                <w:sz w:val="19"/>
                <w:szCs w:val="19"/>
              </w:rPr>
              <w:t>Blumenau reúne 31% das UCs; com Florianópolis e Joinville, chegam a 69,8% do estado.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1"/>
        <w:pBdr>
          <w:bottom w:val="single" w:sz="6" w:space="6" w:color="1F5C4A"/>
        </w:pBdr>
        <w:spacing w:before="480" w:after="200"/>
        <w:rPr/>
      </w:pPr>
      <w:r>
        <w:rPr>
          <w:rFonts w:eastAsia="Calibri" w:cs="Calibri" w:ascii="Calibri" w:hAnsi="Calibri"/>
          <w:b/>
          <w:bCs/>
          <w:color w:val="1F5C4A"/>
          <w:sz w:val="30"/>
          <w:szCs w:val="30"/>
        </w:rPr>
        <w:t>Pergunta 1 — Quem consome mais, e onde</w:t>
      </w:r>
    </w:p>
    <w:p>
      <w:pPr>
        <w:pStyle w:val="Normal"/>
        <w:spacing w:before="60" w:after="40"/>
        <w:jc w:val="both"/>
        <w:rPr/>
      </w:pPr>
      <w:r>
        <w:rPr>
          <w:rFonts w:eastAsia="Calibri" w:cs="Calibri" w:ascii="Calibri" w:hAnsi="Calibri"/>
          <w:b/>
          <w:bCs/>
          <w:color w:val="B8863C"/>
          <w:spacing w:val="20"/>
          <w:sz w:val="16"/>
          <w:szCs w:val="16"/>
        </w:rPr>
        <w:t>A PERGUNTA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>Como o consumo de energia elétrica está distribuído entre os municípios de Santa Catarina?</w:t>
      </w:r>
    </w:p>
    <w:p>
      <w:pPr>
        <w:pStyle w:val="Normal"/>
        <w:spacing w:before="60" w:after="40"/>
        <w:jc w:val="both"/>
        <w:rPr/>
      </w:pPr>
      <w:r>
        <w:rPr>
          <w:rFonts w:eastAsia="Calibri" w:cs="Calibri" w:ascii="Calibri" w:hAnsi="Calibri"/>
          <w:b/>
          <w:bCs/>
          <w:color w:val="B8863C"/>
          <w:spacing w:val="20"/>
          <w:sz w:val="16"/>
          <w:szCs w:val="16"/>
        </w:rPr>
        <w:t>O QUE APARECEU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 xml:space="preserve">Sem surpresas de largada, mas com a confirmação que só o dado traz: o consumo catarinense é puxado por poucos municípios. Joinville aparece na liderança do consumo acumulado da série histórica, seguido de perto por Florianópolis e Blumenau o </w:t>
      </w: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 xml:space="preserve">conhecido </w:t>
      </w: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>trio, ligado a atividade industrial, portuária e tecnológica.</w:t>
      </w:r>
    </w:p>
    <w:p>
      <w:pPr>
        <w:pStyle w:val="Normal"/>
        <w:spacing w:lineRule="auto" w:line="300" w:before="0" w:after="160"/>
        <w:jc w:val="both"/>
        <w:rPr>
          <w:rFonts w:ascii="Calibri" w:hAnsi="Calibri" w:eastAsia="Calibri" w:cs="Calibri"/>
          <w:i w:val="false"/>
          <w:iCs w:val="false"/>
          <w:color w:val="2B2B2B"/>
          <w:sz w:val="22"/>
          <w:szCs w:val="22"/>
        </w:rPr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>Abrindo o consumo por classe, a Indústria é quem mais pesa na conta de SC, à frente de Residencial e Comercial, coerente com o perfil de polos como Joinville, Blumenau, Jaraguá do Sul, Brusque e Chapecó.</w:t>
      </w:r>
    </w:p>
    <w:p>
      <w:pPr>
        <w:pStyle w:val="Normal"/>
        <w:spacing w:lineRule="auto" w:line="300" w:before="0" w:after="160"/>
        <w:rPr>
          <w:rFonts w:ascii="Calibri" w:hAnsi="Calibri" w:eastAsia="Calibri" w:cs="Calibri"/>
          <w:i w:val="false"/>
          <w:iCs w:val="false"/>
          <w:color w:val="2B2B2B"/>
          <w:sz w:val="22"/>
          <w:szCs w:val="22"/>
        </w:rPr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</w:r>
    </w:p>
    <w:p>
      <w:pPr>
        <w:pStyle w:val="Normal"/>
        <w:spacing w:lineRule="auto" w:line="300" w:before="0" w:after="160"/>
        <w:rPr>
          <w:rFonts w:ascii="Calibri" w:hAnsi="Calibri" w:eastAsia="Calibri" w:cs="Calibri"/>
          <w:i w:val="false"/>
          <w:iCs w:val="false"/>
          <w:color w:val="2B2B2B"/>
          <w:sz w:val="22"/>
          <w:szCs w:val="22"/>
        </w:rPr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</w:r>
    </w:p>
    <w:p>
      <w:pPr>
        <w:pStyle w:val="Normal"/>
        <w:spacing w:lineRule="auto" w:line="300" w:before="0" w:after="160"/>
        <w:rPr>
          <w:rFonts w:ascii="Calibri" w:hAnsi="Calibri" w:eastAsia="Calibri" w:cs="Calibri"/>
          <w:i w:val="false"/>
          <w:iCs w:val="false"/>
          <w:color w:val="2B2B2B"/>
          <w:sz w:val="22"/>
          <w:szCs w:val="22"/>
        </w:rPr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</w:r>
    </w:p>
    <w:p>
      <w:pPr>
        <w:pStyle w:val="Normal"/>
        <w:spacing w:lineRule="auto" w:line="300" w:before="0" w:after="160"/>
        <w:rPr>
          <w:rFonts w:ascii="Calibri" w:hAnsi="Calibri" w:eastAsia="Calibri" w:cs="Calibri"/>
          <w:i w:val="false"/>
          <w:iCs w:val="false"/>
          <w:color w:val="2B2B2B"/>
          <w:sz w:val="22"/>
          <w:szCs w:val="22"/>
        </w:rPr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</w:r>
    </w:p>
    <w:p>
      <w:pPr>
        <w:pStyle w:val="Normal"/>
        <w:spacing w:lineRule="auto" w:line="300" w:before="0" w:after="160"/>
        <w:rPr>
          <w:rFonts w:ascii="Calibri" w:hAnsi="Calibri" w:eastAsia="Calibri" w:cs="Calibri"/>
          <w:i w:val="false"/>
          <w:iCs w:val="false"/>
          <w:color w:val="2B2B2B"/>
          <w:sz w:val="22"/>
          <w:szCs w:val="22"/>
        </w:rPr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</w:r>
    </w:p>
    <w:p>
      <w:pPr>
        <w:pStyle w:val="Normal"/>
        <w:spacing w:lineRule="auto" w:line="300" w:before="0" w:after="160"/>
        <w:rPr>
          <w:rFonts w:ascii="Calibri" w:hAnsi="Calibri" w:eastAsia="Calibri" w:cs="Calibri"/>
          <w:i w:val="false"/>
          <w:iCs w:val="false"/>
          <w:color w:val="2B2B2B"/>
          <w:sz w:val="22"/>
          <w:szCs w:val="22"/>
        </w:rPr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</w:r>
    </w:p>
    <w:p>
      <w:pPr>
        <w:pStyle w:val="Normal"/>
        <w:spacing w:lineRule="auto" w:line="300" w:before="0" w:after="160"/>
        <w:rPr>
          <w:rFonts w:ascii="Calibri" w:hAnsi="Calibri" w:eastAsia="Calibri" w:cs="Calibri"/>
          <w:i w:val="false"/>
          <w:iCs w:val="false"/>
          <w:color w:val="2B2B2B"/>
          <w:sz w:val="22"/>
          <w:szCs w:val="22"/>
        </w:rPr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4762500" cy="2362200"/>
            <wp:effectExtent l="0" t="0" r="0" b="0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Calibri" w:cs="Calibri" w:ascii="Calibri" w:hAnsi="Calibri"/>
          <w:i/>
          <w:iCs/>
          <w:color w:val="6B6B6B"/>
          <w:sz w:val="17"/>
          <w:szCs w:val="17"/>
        </w:rPr>
        <w:t>20 municípios com maior consumo acumulado de energia.</w:t>
      </w:r>
    </w:p>
    <w:p>
      <w:pPr>
        <w:pStyle w:val="Normal"/>
        <w:spacing w:lineRule="auto" w:line="300" w:before="0" w:after="160"/>
        <w:rPr>
          <w:rFonts w:ascii="Calibri" w:hAnsi="Calibri" w:eastAsia="Calibri" w:cs="Calibri"/>
          <w:i w:val="false"/>
          <w:iCs w:val="false"/>
          <w:color w:val="2B2B2B"/>
          <w:sz w:val="22"/>
          <w:szCs w:val="22"/>
        </w:rPr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</w:r>
    </w:p>
    <w:p>
      <w:pPr>
        <w:pStyle w:val="Normal"/>
        <w:spacing w:lineRule="auto" w:line="300" w:before="0" w:after="160"/>
        <w:jc w:val="both"/>
        <w:rPr>
          <w:rFonts w:ascii="Calibri" w:hAnsi="Calibri" w:eastAsia="Calibri" w:cs="Calibri"/>
          <w:i w:val="false"/>
          <w:iCs w:val="false"/>
          <w:color w:val="2B2B2B"/>
          <w:sz w:val="22"/>
          <w:szCs w:val="22"/>
        </w:rPr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>E tem uma reviravolta interessante quando o olhar muda de volume total para o Mercado Livre (ACL): o Cativo ainda domina em volume, mas quem mais negocia energia diretamente é gente de município médio, Vidal Ramos, Correia Pinto, Três Barras, Xanxerê. Ou seja: grande consumo nem sempre é grande cidade; às vezes é uma indústria ou um grande consumidor específico puxando a curva.</w:t>
      </w:r>
    </w:p>
    <w:p>
      <w:pPr>
        <w:pStyle w:val="Normal"/>
        <w:spacing w:before="120" w:after="60"/>
        <w:jc w:val="center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4000500" cy="2990850"/>
            <wp:effectExtent l="0" t="0" r="0" b="0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>
          <w:rFonts w:ascii="Calibri" w:hAnsi="Calibri" w:eastAsia="Calibri" w:cs="Calibri"/>
          <w:i/>
          <w:iCs/>
          <w:color w:val="6B6B6B"/>
          <w:sz w:val="17"/>
          <w:szCs w:val="17"/>
        </w:rPr>
      </w:pPr>
      <w:r>
        <w:rPr>
          <w:rFonts w:eastAsia="Calibri" w:cs="Calibri" w:ascii="Calibri" w:hAnsi="Calibri"/>
          <w:i/>
          <w:iCs/>
          <w:color w:val="6B6B6B"/>
          <w:sz w:val="17"/>
          <w:szCs w:val="17"/>
        </w:rPr>
        <w:t>20 municípios com maior participação do Mercado Livre (%).</w:t>
      </w:r>
    </w:p>
    <w:p>
      <w:pPr>
        <w:pStyle w:val="Normal"/>
        <w:spacing w:before="0" w:after="220"/>
        <w:jc w:val="center"/>
        <w:rPr>
          <w:rFonts w:ascii="Calibri" w:hAnsi="Calibri" w:eastAsia="Calibri" w:cs="Calibri"/>
          <w:i/>
          <w:iCs/>
          <w:color w:val="6B6B6B"/>
          <w:sz w:val="17"/>
          <w:szCs w:val="17"/>
        </w:rPr>
      </w:pPr>
      <w:r>
        <w:rPr>
          <w:rFonts w:eastAsia="Calibri" w:cs="Calibri" w:ascii="Calibri" w:hAnsi="Calibri"/>
          <w:i/>
          <w:iCs/>
          <w:color w:val="6B6B6B"/>
          <w:sz w:val="17"/>
          <w:szCs w:val="17"/>
        </w:rPr>
      </w:r>
    </w:p>
    <w:p>
      <w:pPr>
        <w:pStyle w:val="Normal"/>
        <w:pBdr>
          <w:left w:val="single" w:sz="18" w:space="8" w:color="1F5C4A"/>
        </w:pBdr>
        <w:spacing w:before="120" w:after="240"/>
        <w:ind w:start="360"/>
        <w:rPr/>
      </w:pPr>
      <w:r>
        <w:rPr>
          <w:rFonts w:eastAsia="Calibri" w:cs="Calibri" w:ascii="Calibri" w:hAnsi="Calibri"/>
          <w:i/>
          <w:iCs/>
          <w:color w:val="6B6B6B"/>
          <w:sz w:val="21"/>
          <w:szCs w:val="21"/>
        </w:rPr>
        <w:t>O tamanho da cidade explica parte da história. A outra parte é quem está dentro dela consumindo — e como.</w:t>
      </w:r>
    </w:p>
    <w:p>
      <w:pPr>
        <w:pStyle w:val="Heading1"/>
        <w:pBdr>
          <w:bottom w:val="single" w:sz="6" w:space="6" w:color="1F5C4A"/>
        </w:pBdr>
        <w:spacing w:before="480" w:after="200"/>
        <w:rPr>
          <w:rFonts w:ascii="Calibri" w:hAnsi="Calibri" w:eastAsia="Calibri" w:cs="Calibri"/>
          <w:b/>
          <w:bCs/>
          <w:color w:val="1F5C4A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5C4A"/>
          <w:sz w:val="30"/>
          <w:szCs w:val="30"/>
        </w:rPr>
      </w:r>
    </w:p>
    <w:p>
      <w:pPr>
        <w:pStyle w:val="Heading1"/>
        <w:pBdr>
          <w:bottom w:val="single" w:sz="6" w:space="6" w:color="1F5C4A"/>
        </w:pBdr>
        <w:spacing w:before="480" w:after="200"/>
        <w:rPr>
          <w:rFonts w:ascii="Calibri" w:hAnsi="Calibri" w:eastAsia="Calibri" w:cs="Calibri"/>
          <w:b/>
          <w:bCs/>
          <w:color w:val="1F5C4A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5C4A"/>
          <w:sz w:val="30"/>
          <w:szCs w:val="30"/>
        </w:rPr>
        <w:t>Pergunta 2 — O apetite crescente por energia</w:t>
      </w:r>
    </w:p>
    <w:p>
      <w:pPr>
        <w:pStyle w:val="Normal"/>
        <w:spacing w:before="60" w:after="40"/>
        <w:jc w:val="both"/>
        <w:rPr/>
      </w:pPr>
      <w:r>
        <w:rPr>
          <w:rFonts w:eastAsia="Calibri" w:cs="Calibri" w:ascii="Calibri" w:hAnsi="Calibri"/>
          <w:b/>
          <w:bCs/>
          <w:color w:val="B8863C"/>
          <w:spacing w:val="20"/>
          <w:sz w:val="16"/>
          <w:szCs w:val="16"/>
        </w:rPr>
        <w:t>A PERGUNTA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>Como o consumo de energia elétrica evoluiu ao longo do tempo em Santa Catarina?</w:t>
      </w:r>
    </w:p>
    <w:p>
      <w:pPr>
        <w:pStyle w:val="Normal"/>
        <w:spacing w:before="60" w:after="40"/>
        <w:jc w:val="both"/>
        <w:rPr/>
      </w:pPr>
      <w:r>
        <w:rPr>
          <w:rFonts w:eastAsia="Calibri" w:cs="Calibri" w:ascii="Calibri" w:hAnsi="Calibri"/>
          <w:b/>
          <w:bCs/>
          <w:color w:val="B8863C"/>
          <w:spacing w:val="20"/>
          <w:sz w:val="16"/>
          <w:szCs w:val="16"/>
        </w:rPr>
        <w:t>O QUE APARECEU</w:t>
      </w:r>
    </w:p>
    <w:p>
      <w:pPr>
        <w:pStyle w:val="Normal"/>
        <w:spacing w:lineRule="auto" w:line="300" w:before="0" w:after="160"/>
        <w:jc w:val="both"/>
        <w:rPr>
          <w:rFonts w:ascii="Calibri" w:hAnsi="Calibri" w:eastAsia="Calibri" w:cs="Calibri"/>
          <w:i w:val="false"/>
          <w:iCs w:val="false"/>
          <w:color w:val="2B2B2B"/>
          <w:sz w:val="22"/>
          <w:szCs w:val="22"/>
        </w:rPr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>Trinta e dois anos de série (1994 a março de 2026) contam uma história sem grandes reviravoltas: o consumo só cresce. De cerca de 650 mil MWh mensais no início da série para algo perto de 3 milhões de MWh nos meses mais recentes, quase cinco vezes mais.</w:t>
      </w:r>
    </w:p>
    <w:p>
      <w:pPr>
        <w:pStyle w:val="Normal"/>
        <w:spacing w:lineRule="auto" w:line="300" w:before="0" w:after="160"/>
        <w:rPr>
          <w:rFonts w:ascii="Calibri" w:hAnsi="Calibri" w:eastAsia="Calibri" w:cs="Calibri"/>
          <w:i w:val="false"/>
          <w:iCs w:val="false"/>
          <w:color w:val="2B2B2B"/>
          <w:sz w:val="22"/>
          <w:szCs w:val="22"/>
        </w:rPr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048250" cy="2028825"/>
            <wp:effectExtent l="0" t="0" r="0" b="0"/>
            <wp:docPr id="4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Calibri" w:cs="Calibri" w:ascii="Calibri" w:hAnsi="Calibri"/>
          <w:i/>
          <w:iCs/>
          <w:color w:val="6B6B6B"/>
          <w:sz w:val="17"/>
          <w:szCs w:val="17"/>
        </w:rPr>
        <w:t>Consumo mensal de energia elétrica em Santa Catarina (1994–2026).</w:t>
      </w:r>
    </w:p>
    <w:p>
      <w:pPr>
        <w:pStyle w:val="Normal"/>
        <w:spacing w:lineRule="auto" w:line="300" w:before="0" w:after="160"/>
        <w:rPr>
          <w:rFonts w:ascii="Calibri" w:hAnsi="Calibri" w:eastAsia="Calibri" w:cs="Calibri"/>
          <w:i w:val="false"/>
          <w:iCs w:val="false"/>
          <w:color w:val="2B2B2B"/>
          <w:sz w:val="22"/>
          <w:szCs w:val="22"/>
        </w:rPr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</w:r>
    </w:p>
    <w:p>
      <w:pPr>
        <w:pStyle w:val="Normal"/>
        <w:spacing w:lineRule="auto" w:line="300" w:before="0" w:after="160"/>
        <w:jc w:val="both"/>
        <w:rPr>
          <w:rFonts w:ascii="Calibri" w:hAnsi="Calibri" w:eastAsia="Calibri" w:cs="Calibri"/>
          <w:i w:val="false"/>
          <w:iCs w:val="false"/>
          <w:color w:val="2B2B2B"/>
          <w:sz w:val="22"/>
          <w:szCs w:val="22"/>
        </w:rPr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>Na leitura anual, o padrão se confirma: crescimento praticamente contínuo, sem quedas prolongadas. As únicas retrações notáveis foram pontuais , 2015 e 2025,  o resto é subida.</w:t>
      </w:r>
    </w:p>
    <w:p>
      <w:pPr>
        <w:pStyle w:val="Normal"/>
        <w:spacing w:lineRule="auto" w:line="300" w:before="0" w:after="160"/>
        <w:jc w:val="both"/>
        <w:rPr>
          <w:rFonts w:ascii="Calibri" w:hAnsi="Calibri" w:eastAsia="Calibri" w:cs="Calibri"/>
          <w:i w:val="false"/>
          <w:iCs w:val="false"/>
          <w:color w:val="2B2B2B"/>
          <w:sz w:val="22"/>
          <w:szCs w:val="22"/>
        </w:rPr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>E existe um ritmo dentro do ritmo: o consumo tem estação. Fevereiro e março concentram os picos, enquanto junho a setembro respiram mais leve. Um sobe-e-desce discreto, mas que se repete ano após ano.</w:t>
      </w:r>
    </w:p>
    <w:p>
      <w:pPr>
        <w:pStyle w:val="Normal"/>
        <w:spacing w:lineRule="auto" w:line="300" w:before="0" w:after="160"/>
        <w:rPr>
          <w:rFonts w:ascii="Calibri" w:hAnsi="Calibri" w:eastAsia="Calibri" w:cs="Calibri"/>
          <w:i w:val="false"/>
          <w:iCs w:val="false"/>
          <w:color w:val="2B2B2B"/>
          <w:sz w:val="22"/>
          <w:szCs w:val="22"/>
        </w:rPr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</w:r>
    </w:p>
    <w:p>
      <w:pPr>
        <w:pStyle w:val="Normal"/>
        <w:spacing w:before="120" w:after="60"/>
        <w:jc w:val="center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4000500" cy="2209800"/>
            <wp:effectExtent l="0" t="0" r="0" b="0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>
          <w:rFonts w:ascii="Calibri" w:hAnsi="Calibri" w:eastAsia="Calibri" w:cs="Calibri"/>
          <w:i/>
          <w:iCs/>
          <w:color w:val="6B6B6B"/>
          <w:sz w:val="17"/>
          <w:szCs w:val="17"/>
        </w:rPr>
      </w:pPr>
      <w:r>
        <w:rPr>
          <w:rFonts w:eastAsia="Calibri" w:cs="Calibri" w:ascii="Calibri" w:hAnsi="Calibri"/>
          <w:i/>
          <w:iCs/>
          <w:color w:val="6B6B6B"/>
          <w:sz w:val="17"/>
          <w:szCs w:val="17"/>
        </w:rPr>
        <w:t>Consumo médio por mês do ano.</w:t>
      </w:r>
    </w:p>
    <w:p>
      <w:pPr>
        <w:pStyle w:val="Normal"/>
        <w:spacing w:before="0" w:after="220"/>
        <w:jc w:val="center"/>
        <w:rPr>
          <w:rFonts w:ascii="Calibri" w:hAnsi="Calibri" w:eastAsia="Calibri" w:cs="Calibri"/>
          <w:i/>
          <w:iCs/>
          <w:color w:val="6B6B6B"/>
          <w:sz w:val="17"/>
          <w:szCs w:val="17"/>
        </w:rPr>
      </w:pPr>
      <w:r>
        <w:rPr>
          <w:rFonts w:eastAsia="Calibri" w:cs="Calibri" w:ascii="Calibri" w:hAnsi="Calibri"/>
          <w:i/>
          <w:iCs/>
          <w:color w:val="6B6B6B"/>
          <w:sz w:val="17"/>
          <w:szCs w:val="17"/>
        </w:rPr>
      </w:r>
    </w:p>
    <w:p>
      <w:pPr>
        <w:pStyle w:val="Normal"/>
        <w:pBdr>
          <w:left w:val="single" w:sz="18" w:space="8" w:color="1F5C4A"/>
        </w:pBdr>
        <w:spacing w:before="120" w:after="240"/>
        <w:ind w:start="360"/>
        <w:rPr/>
      </w:pPr>
      <w:r>
        <w:rPr>
          <w:rFonts w:eastAsia="Calibri" w:cs="Calibri" w:ascii="Calibri" w:hAnsi="Calibri"/>
          <w:i/>
          <w:iCs/>
          <w:color w:val="6B6B6B"/>
          <w:sz w:val="21"/>
          <w:szCs w:val="21"/>
        </w:rPr>
        <w:t>A curva de longo prazo sobe; a curva de curto prazo respira. Os dois padrões convivem na mesma série.</w:t>
      </w:r>
    </w:p>
    <w:p>
      <w:pPr>
        <w:pStyle w:val="Heading1"/>
        <w:pBdr>
          <w:bottom w:val="single" w:sz="6" w:space="6" w:color="1F5C4A"/>
        </w:pBdr>
        <w:spacing w:before="480" w:after="200"/>
        <w:rPr>
          <w:rFonts w:ascii="Calibri" w:hAnsi="Calibri" w:eastAsia="Calibri" w:cs="Calibri"/>
          <w:b/>
          <w:bCs/>
          <w:color w:val="1F5C4A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5C4A"/>
          <w:sz w:val="30"/>
          <w:szCs w:val="30"/>
        </w:rPr>
      </w:r>
    </w:p>
    <w:p>
      <w:pPr>
        <w:pStyle w:val="Heading1"/>
        <w:pBdr>
          <w:bottom w:val="single" w:sz="6" w:space="6" w:color="1F5C4A"/>
        </w:pBdr>
        <w:spacing w:before="480" w:after="200"/>
        <w:rPr>
          <w:rFonts w:ascii="Calibri" w:hAnsi="Calibri" w:eastAsia="Calibri" w:cs="Calibri"/>
          <w:b/>
          <w:bCs/>
          <w:color w:val="1F5C4A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5C4A"/>
          <w:sz w:val="30"/>
          <w:szCs w:val="30"/>
        </w:rPr>
        <w:t>Pergunta 3 — Reorganizando o mapa por região</w:t>
      </w:r>
    </w:p>
    <w:p>
      <w:pPr>
        <w:pStyle w:val="Normal"/>
        <w:spacing w:before="60" w:after="40"/>
        <w:jc w:val="both"/>
        <w:rPr/>
      </w:pPr>
      <w:r>
        <w:rPr>
          <w:rFonts w:eastAsia="Calibri" w:cs="Calibri" w:ascii="Calibri" w:hAnsi="Calibri"/>
          <w:b/>
          <w:bCs/>
          <w:color w:val="B8863C"/>
          <w:spacing w:val="20"/>
          <w:sz w:val="16"/>
          <w:szCs w:val="16"/>
        </w:rPr>
        <w:t>A PERGUNTA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>Como o consumo de energia elétrica está distribuído entre as Regiões Geográficas Intermediárias de SC?</w:t>
      </w:r>
    </w:p>
    <w:p>
      <w:pPr>
        <w:pStyle w:val="Normal"/>
        <w:spacing w:before="60" w:after="40"/>
        <w:jc w:val="both"/>
        <w:rPr/>
      </w:pPr>
      <w:r>
        <w:rPr>
          <w:rFonts w:eastAsia="Calibri" w:cs="Calibri" w:ascii="Calibri" w:hAnsi="Calibri"/>
          <w:b/>
          <w:bCs/>
          <w:color w:val="B8863C"/>
          <w:spacing w:val="20"/>
          <w:sz w:val="16"/>
          <w:szCs w:val="16"/>
        </w:rPr>
        <w:t>O QUE APARECEU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>Antes de qualquer gráfico, teve faxina de dado: cruzar a base da CELESC com a divisão territorial do IBGE revelou uma pegadinha, a CELESC tinha registros de Rio Negro, que é do Paraná, não de Santa Catarina. Removido. No fim, a base de consumo cobre 289 dos 295 municípios catarinenses reconhecidos pelo IBGE, o suficiente para uma leitura regional consistente.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>Com o consumo agrupado por região em vez de por município, o retrato municipal da Pergunta 1 se confirma em escala maior: Florianópolis, Joinville e Blumenau concentram a maior fatia do consumo estadual, evidenciando o quanto a demanda energética de SC gira em torno desses três polos.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>Essa organização regional também é o ponto de partida para perguntas futuras do projeto como pensar infraestrutura crítica, economia digital e possíveis áreas de interesse para Data Centers no estado.</w:t>
      </w:r>
    </w:p>
    <w:p>
      <w:pPr>
        <w:pStyle w:val="Heading1"/>
        <w:pBdr>
          <w:bottom w:val="single" w:sz="6" w:space="6" w:color="1F5C4A"/>
        </w:pBdr>
        <w:spacing w:before="480" w:after="200"/>
        <w:rPr>
          <w:rFonts w:ascii="Calibri" w:hAnsi="Calibri" w:eastAsia="Calibri" w:cs="Calibri"/>
          <w:b/>
          <w:bCs/>
          <w:color w:val="1F5C4A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5C4A"/>
          <w:sz w:val="30"/>
          <w:szCs w:val="30"/>
        </w:rPr>
      </w:r>
    </w:p>
    <w:p>
      <w:pPr>
        <w:pStyle w:val="Heading1"/>
        <w:pBdr>
          <w:bottom w:val="single" w:sz="6" w:space="6" w:color="1F5C4A"/>
        </w:pBdr>
        <w:spacing w:before="480" w:after="200"/>
        <w:rPr>
          <w:rFonts w:ascii="Calibri" w:hAnsi="Calibri" w:eastAsia="Calibri" w:cs="Calibri"/>
          <w:b/>
          <w:bCs/>
          <w:color w:val="1F5C4A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5C4A"/>
          <w:sz w:val="30"/>
          <w:szCs w:val="30"/>
        </w:rPr>
      </w:r>
    </w:p>
    <w:p>
      <w:pPr>
        <w:pStyle w:val="Heading1"/>
        <w:pBdr>
          <w:bottom w:val="single" w:sz="6" w:space="6" w:color="1F5C4A"/>
        </w:pBdr>
        <w:spacing w:before="480" w:after="200"/>
        <w:rPr>
          <w:rFonts w:ascii="Calibri" w:hAnsi="Calibri" w:eastAsia="Calibri" w:cs="Calibri"/>
          <w:b/>
          <w:bCs/>
          <w:color w:val="1F5C4A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5C4A"/>
          <w:sz w:val="30"/>
          <w:szCs w:val="30"/>
        </w:rPr>
        <w:t>Pergunta 4 — Não é só quanto se consome, é quantos consomem</w:t>
      </w:r>
    </w:p>
    <w:p>
      <w:pPr>
        <w:pStyle w:val="Normal"/>
        <w:spacing w:before="60" w:after="40"/>
        <w:jc w:val="both"/>
        <w:rPr/>
      </w:pPr>
      <w:r>
        <w:rPr>
          <w:rFonts w:eastAsia="Calibri" w:cs="Calibri" w:ascii="Calibri" w:hAnsi="Calibri"/>
          <w:b/>
          <w:bCs/>
          <w:color w:val="B8863C"/>
          <w:spacing w:val="20"/>
          <w:sz w:val="16"/>
          <w:szCs w:val="16"/>
        </w:rPr>
        <w:t>A PERGUNTA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>Como as Unidades Consumidoras (UCs) estão distribuídas entre as regiões de Santa Catarina?</w:t>
      </w:r>
    </w:p>
    <w:p>
      <w:pPr>
        <w:pStyle w:val="Normal"/>
        <w:spacing w:before="60" w:after="40"/>
        <w:jc w:val="both"/>
        <w:rPr/>
      </w:pPr>
      <w:r>
        <w:rPr>
          <w:rFonts w:eastAsia="Calibri" w:cs="Calibri" w:ascii="Calibri" w:hAnsi="Calibri"/>
          <w:b/>
          <w:bCs/>
          <w:color w:val="B8863C"/>
          <w:spacing w:val="20"/>
          <w:sz w:val="16"/>
          <w:szCs w:val="16"/>
        </w:rPr>
        <w:t>O QUE APARECEU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>Consumo e número de consumidores são histórias diferentes e vale a pena separar as duas. Enquanto o consumo revela onde a demanda energética pesa mais, a contagem de UCs mostra onde o mercado é mais amplo.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>E aqui Blumenau assume a ponta: sozinha, reúne 31,01% de todas as Unidades Consumidoras do estado. Florianópolis (19,43%) e Joinville (19,40%) vêm logo atrás, praticamente empatadas.</w:t>
      </w:r>
    </w:p>
    <w:p>
      <w:pPr>
        <w:pStyle w:val="Normal"/>
        <w:spacing w:lineRule="auto" w:line="300" w:before="0" w:after="160"/>
        <w:jc w:val="both"/>
        <w:rPr>
          <w:rFonts w:ascii="Calibri" w:hAnsi="Calibri" w:eastAsia="Calibri" w:cs="Calibri"/>
          <w:i w:val="false"/>
          <w:iCs w:val="false"/>
          <w:color w:val="2B2B2B"/>
          <w:sz w:val="22"/>
          <w:szCs w:val="22"/>
        </w:rPr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>Somando as três, o resultado é contundente: 69,8% de todas as UCs de Santa Catarina estão concentradas nessas três regiões. O gráfico de Pareto deixa isso escancarado poucos polos, a maior parte do mercado.</w:t>
      </w:r>
    </w:p>
    <w:p>
      <w:pPr>
        <w:pStyle w:val="Normal"/>
        <w:spacing w:lineRule="auto" w:line="300" w:before="0" w:after="160"/>
        <w:rPr>
          <w:rFonts w:ascii="Calibri" w:hAnsi="Calibri" w:eastAsia="Calibri" w:cs="Calibri"/>
          <w:i w:val="false"/>
          <w:iCs w:val="false"/>
          <w:color w:val="2B2B2B"/>
          <w:sz w:val="22"/>
          <w:szCs w:val="22"/>
        </w:rPr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4762500" cy="2581275"/>
            <wp:effectExtent l="0" t="0" r="0" b="0"/>
            <wp:docPr id="6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8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>
          <w:rFonts w:ascii="Calibri" w:hAnsi="Calibri" w:eastAsia="Calibri" w:cs="Calibri"/>
          <w:i/>
          <w:iCs/>
          <w:color w:val="6B6B6B"/>
          <w:sz w:val="17"/>
          <w:szCs w:val="17"/>
        </w:rPr>
      </w:pPr>
      <w:r>
        <w:rPr>
          <w:rFonts w:eastAsia="Calibri" w:cs="Calibri" w:ascii="Calibri" w:hAnsi="Calibri"/>
          <w:i/>
          <w:iCs/>
          <w:color w:val="6B6B6B"/>
          <w:sz w:val="17"/>
          <w:szCs w:val="17"/>
        </w:rPr>
        <w:t>Distribuição das Unidades Consumidoras — Análise de Pareto.</w:t>
      </w:r>
    </w:p>
    <w:p>
      <w:pPr>
        <w:pStyle w:val="Normal"/>
        <w:spacing w:before="0" w:after="220"/>
        <w:jc w:val="center"/>
        <w:rPr>
          <w:rFonts w:ascii="Calibri" w:hAnsi="Calibri" w:eastAsia="Calibri" w:cs="Calibri"/>
          <w:i/>
          <w:iCs/>
          <w:color w:val="6B6B6B"/>
          <w:sz w:val="17"/>
          <w:szCs w:val="17"/>
        </w:rPr>
      </w:pPr>
      <w:r>
        <w:rPr>
          <w:rFonts w:eastAsia="Calibri" w:cs="Calibri" w:ascii="Calibri" w:hAnsi="Calibri"/>
          <w:i/>
          <w:iCs/>
          <w:color w:val="6B6B6B"/>
          <w:sz w:val="17"/>
          <w:szCs w:val="17"/>
        </w:rPr>
      </w:r>
    </w:p>
    <w:p>
      <w:pPr>
        <w:pStyle w:val="Normal"/>
        <w:pBdr>
          <w:left w:val="single" w:sz="18" w:space="8" w:color="1F5C4A"/>
        </w:pBdr>
        <w:spacing w:before="120" w:after="240"/>
        <w:ind w:start="360"/>
        <w:rPr/>
      </w:pPr>
      <w:r>
        <w:rPr>
          <w:rFonts w:eastAsia="Calibri" w:cs="Calibri" w:ascii="Calibri" w:hAnsi="Calibri"/>
          <w:i/>
          <w:iCs/>
          <w:color w:val="6B6B6B"/>
          <w:sz w:val="21"/>
          <w:szCs w:val="21"/>
        </w:rPr>
        <w:t>Blumenau lidera em número de clientes; Joinville lidera em volume consumido. Concentração regional, sim — mas não é sempre a mesma cidade na frente.</w:t>
      </w:r>
    </w:p>
    <w:p>
      <w:pPr>
        <w:pStyle w:val="Heading1"/>
        <w:pBdr>
          <w:bottom w:val="single" w:sz="6" w:space="6" w:color="1F5C4A"/>
        </w:pBdr>
        <w:spacing w:before="480" w:after="200"/>
        <w:rPr>
          <w:rFonts w:ascii="Calibri" w:hAnsi="Calibri" w:eastAsia="Calibri" w:cs="Calibri"/>
          <w:b/>
          <w:bCs/>
          <w:color w:val="1F5C4A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5C4A"/>
          <w:sz w:val="30"/>
          <w:szCs w:val="30"/>
        </w:rPr>
      </w:r>
    </w:p>
    <w:p>
      <w:pPr>
        <w:pStyle w:val="Heading1"/>
        <w:pBdr>
          <w:bottom w:val="single" w:sz="6" w:space="6" w:color="1F5C4A"/>
        </w:pBdr>
        <w:spacing w:before="480" w:after="200"/>
        <w:rPr>
          <w:rFonts w:ascii="Calibri" w:hAnsi="Calibri" w:eastAsia="Calibri" w:cs="Calibri"/>
          <w:b/>
          <w:bCs/>
          <w:color w:val="1F5C4A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5C4A"/>
          <w:sz w:val="30"/>
          <w:szCs w:val="30"/>
        </w:rPr>
        <w:t>O que vem por aí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eastAsia="Calibri" w:cs="Calibri" w:ascii="Calibri" w:hAnsi="Calibri"/>
          <w:i w:val="false"/>
          <w:iCs w:val="false"/>
          <w:color w:val="2B2B2B"/>
          <w:sz w:val="22"/>
          <w:szCs w:val="22"/>
        </w:rPr>
        <w:t>Encerrada a fase exploratória, o projeto já tem um esqueleto: onde o consumo se concentra, como ele cresceu ao longo de três décadas, e como ele se organiza tanto por volume quanto por número de consumidores. As próximas etapas devem aprofundar essas camadas cruzando consumo, mercado livre e concentração regional e mirar num horizonte mais específico: o que essa infraestrutura energética catarinense tem a dizer sobre a chegada de Data Centers e da economia de IA ao estado.</w:t>
      </w:r>
    </w:p>
    <w:p>
      <w:pPr>
        <w:pStyle w:val="Normal"/>
        <w:spacing w:lineRule="auto" w:line="300" w:before="0" w:after="160"/>
        <w:rPr/>
      </w:pPr>
      <w:r>
        <w:rPr>
          <w:rFonts w:eastAsia="Calibri" w:cs="Calibri" w:ascii="Calibri" w:hAnsi="Calibri"/>
          <w:i/>
          <w:iCs/>
          <w:color w:val="6B6B6B"/>
          <w:sz w:val="22"/>
          <w:szCs w:val="22"/>
        </w:rPr>
        <w:t>Por enquanto, fica o retrato inicial — e a confirmação de que o dado, quando bem tratado, sempre tem mais para contar.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200" w:right="1200" w:gutter="0" w:header="708" w:top="1100" w:footer="708" w:bottom="110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i/>
        <w:iCs/>
        <w:color w:val="6B6B6B"/>
        <w:sz w:val="22"/>
        <w:szCs w:val="22"/>
      </w:rPr>
      <w:fldChar w:fldCharType="begin"/>
    </w:r>
    <w:r>
      <w:rPr>
        <w:rFonts w:eastAsia="Calibri" w:cs="Calibri" w:ascii="Calibri" w:hAnsi="Calibri"/>
        <w:i/>
        <w:iCs/>
        <w:color w:val="6B6B6B"/>
        <w:sz w:val="22"/>
        <w:szCs w:val="22"/>
      </w:rPr>
      <w:instrText xml:space="preserve"> PAGE </w:instrText>
    </w:r>
    <w:r>
      <w:rPr>
        <w:rFonts w:eastAsia="Calibri" w:cs="Calibri" w:ascii="Calibri" w:hAnsi="Calibri"/>
        <w:i/>
        <w:iCs/>
        <w:color w:val="6B6B6B"/>
        <w:sz w:val="22"/>
        <w:szCs w:val="22"/>
      </w:rPr>
      <w:fldChar w:fldCharType="separate"/>
    </w:r>
    <w:r>
      <w:rPr>
        <w:rFonts w:eastAsia="Calibri" w:cs="Calibri" w:ascii="Calibri" w:hAnsi="Calibri"/>
        <w:i/>
        <w:iCs/>
        <w:color w:val="6B6B6B"/>
        <w:sz w:val="22"/>
        <w:szCs w:val="22"/>
      </w:rPr>
      <w:t>7</w:t>
    </w:r>
    <w:r>
      <w:rPr>
        <w:rFonts w:eastAsia="Calibri" w:cs="Calibri" w:ascii="Calibri" w:hAnsi="Calibri"/>
        <w:i/>
        <w:iCs/>
        <w:color w:val="6B6B6B"/>
        <w:sz w:val="22"/>
        <w:szCs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 w:ascii="Calibri" w:hAnsi="Calibri"/>
        <w:color w:val="6B6B6B"/>
        <w:sz w:val="16"/>
        <w:szCs w:val="16"/>
      </w:rPr>
      <w:t>Mercado de Energia Elétrica de Santa Catarina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 Unicode MS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 Unicode MS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 Unicode MS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LibreOffice/26.2.4.2$Windows_X86_64 LibreOffice_project/0229ac93fcf0d7cbc6376066c6f35021cef002dc</Application>
  <AppVersion>15.0000</AppVersion>
  <Pages>7</Pages>
  <Words>1041</Words>
  <Characters>5331</Characters>
  <CharactersWithSpaces>6314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2026-08-05T21:28:08Z</dcterms:created>
  <dc:creator>Un-named</dc:creator>
  <dc:description/>
  <dc:language>pt-BR</dc:language>
  <cp:lastModifiedBy/>
  <dcterms:modified xsi:type="dcterms:W3CDTF">2026-08-05T19:32:50Z</dcterms:modified>
  <cp:revision>2</cp:revision>
  <dc:subject/>
  <dc:title/>
</cp:coreProperties>
</file>