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before="90"/>
      </w:pPr>
      <w:r>
        <w:t xml:space="preserve"/>
      </w:r>
    </w:p>
    <w:p>
      <w:pPr>
        <w:spacing w:after="80" w:before="0"/>
        <w:jc w:val="center"/>
      </w:pPr>
      <w:r>
        <w:rPr>
          <w:rFonts w:ascii="Calibri" w:cs="Calibri" w:eastAsia="Calibri" w:hAnsi="Calibri"/>
          <w:b/>
          <w:bCs/>
          <w:i w:val="false"/>
          <w:iCs w:val="false"/>
          <w:caps/>
          <w:color w:val="6C4FCC"/>
          <w:sz w:val="20"/>
          <w:szCs w:val="20"/>
        </w:rPr>
        <w:t xml:space="preserve">PERSONALISED FOR YOUR PROFILE</w:t>
      </w:r>
    </w:p>
    <w:p>
      <w:pPr>
        <w:spacing w:after="60" w:before="0"/>
        <w:jc w:val="center"/>
      </w:pPr>
      <w:r>
        <w:rPr>
          <w:rFonts w:ascii="Calibri" w:cs="Calibri" w:eastAsia="Calibri" w:hAnsi="Calibri"/>
          <w:b/>
          <w:bCs/>
          <w:i w:val="false"/>
          <w:iCs w:val="false"/>
          <w:caps w:val="false"/>
          <w:color w:val="1B2A4A"/>
          <w:sz w:val="52"/>
          <w:szCs w:val="52"/>
        </w:rPr>
        <w:t xml:space="preserve">Leadership &amp; Behavioral</w:t>
      </w:r>
    </w:p>
    <w:p>
      <w:pPr>
        <w:spacing w:after="120" w:before="0"/>
        <w:jc w:val="center"/>
      </w:pPr>
      <w:r>
        <w:rPr>
          <w:rFonts w:ascii="Calibri" w:cs="Calibri" w:eastAsia="Calibri" w:hAnsi="Calibri"/>
          <w:b/>
          <w:bCs/>
          <w:i w:val="false"/>
          <w:iCs w:val="false"/>
          <w:caps w:val="false"/>
          <w:color w:val="6C4FCC"/>
          <w:sz w:val="52"/>
          <w:szCs w:val="52"/>
        </w:rPr>
        <w:t xml:space="preserve">Interview Mastery Guide</w:t>
      </w:r>
    </w:p>
    <w:p>
      <w:pPr>
        <w:spacing w:after="60" w:before="0"/>
        <w:jc w:val="center"/>
      </w:pPr>
      <w:r>
        <w:rPr>
          <w:rFonts w:ascii="Calibri" w:cs="Calibri" w:eastAsia="Calibri" w:hAnsi="Calibri"/>
          <w:b w:val="false"/>
          <w:bCs w:val="false"/>
          <w:i/>
          <w:iCs/>
          <w:caps w:val="false"/>
          <w:color w:val="7A8A99"/>
          <w:sz w:val="24"/>
          <w:szCs w:val="24"/>
        </w:rPr>
        <w:t xml:space="preserve">ClickUp Principal Frontend Engineer  ·  Tailored to Your 21-Year Career</w:t>
      </w:r>
    </w:p>
    <w:p>
      <w:pPr>
        <w:spacing w:after="360" w:before="0"/>
        <w:jc w:val="center"/>
      </w:pPr>
      <w:r>
        <w:rPr>
          <w:rFonts w:ascii="Calibri" w:cs="Calibri" w:eastAsia="Calibri" w:hAnsi="Calibri"/>
          <w:b w:val="false"/>
          <w:bCs w:val="false"/>
          <w:i w:val="false"/>
          <w:iCs w:val="false"/>
          <w:caps w:val="false"/>
          <w:color w:val="556070"/>
          <w:sz w:val="19"/>
          <w:szCs w:val="19"/>
        </w:rPr>
        <w:t xml:space="preserve">Principal UI Architect  ·  Wells Fargo  ·  Charlotte NC  ·  Angular 11→21  ·  Micro-frontends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c>
          <w:tcPr>
            <w:tcW w:type="dxa" w:w="2300"/>
            <w:tcBorders>
              <w:top w:val="single" w:color="CED4E8" w:sz="1"/>
              <w:left w:val="single" w:color="CED4E8" w:sz="1"/>
              <w:bottom w:val="single" w:color="CED4E8" w:sz="1"/>
              <w:right w:val="single" w:color="CED4E8" w:sz="1"/>
            </w:tcBorders>
            <w:shd w:fill="F0EAFF" w:val="clear"/>
            <w:tcMar>
              <w:top w:type="dxa" w:w="120"/>
              <w:left w:type="dxa" w:w="120"/>
              <w:bottom w:type="dxa" w:w="120"/>
              <w:right w:type="dxa" w:w="120"/>
            </w:tcMar>
          </w:tcPr>
          <w:p>
            <w:pPr>
              <w:spacing w:after="40" w:before="0"/>
              <w:jc w:val="center"/>
            </w:pPr>
            <w:r>
              <w:rPr>
                <w:rFonts w:ascii="Calibri" w:cs="Calibri" w:eastAsia="Calibri" w:hAnsi="Calibri"/>
                <w:b/>
                <w:bCs/>
                <w:i w:val="false"/>
                <w:iCs w:val="false"/>
                <w:caps w:val="false"/>
                <w:color w:val="6C4FCC"/>
                <w:sz w:val="38"/>
                <w:szCs w:val="38"/>
              </w:rPr>
              <w:t xml:space="preserve">21+</w:t>
            </w:r>
          </w:p>
          <w:p>
            <w:pPr>
              <w:spacing w:after="0" w:before="0"/>
              <w:jc w:val="center"/>
            </w:pPr>
            <w:r>
              <w:rPr>
                <w:rFonts w:ascii="Calibri" w:cs="Calibri" w:eastAsia="Calibri" w:hAnsi="Calibri"/>
                <w:b w:val="false"/>
                <w:bCs w:val="false"/>
                <w:i w:val="false"/>
                <w:iCs w:val="false"/>
                <w:caps w:val="false"/>
                <w:color w:val="7A8A99"/>
                <w:sz w:val="19"/>
                <w:szCs w:val="19"/>
              </w:rPr>
              <w:t xml:space="preserve">Years Exp</w:t>
            </w:r>
          </w:p>
        </w:tc>
        <w:tc>
          <w:tcPr>
            <w:tcW w:type="dxa" w:w="2300"/>
            <w:tcBorders>
              <w:top w:val="single" w:color="CED4E8" w:sz="1"/>
              <w:left w:val="single" w:color="CED4E8" w:sz="1"/>
              <w:bottom w:val="single" w:color="CED4E8" w:sz="1"/>
              <w:right w:val="single" w:color="CED4E8" w:sz="1"/>
            </w:tcBorders>
            <w:shd w:fill="F0EAFF" w:val="clear"/>
            <w:tcMar>
              <w:top w:type="dxa" w:w="120"/>
              <w:left w:type="dxa" w:w="120"/>
              <w:bottom w:type="dxa" w:w="120"/>
              <w:right w:type="dxa" w:w="120"/>
            </w:tcMar>
          </w:tcPr>
          <w:p>
            <w:pPr>
              <w:spacing w:after="40" w:before="0"/>
              <w:jc w:val="center"/>
            </w:pPr>
            <w:r>
              <w:rPr>
                <w:rFonts w:ascii="Calibri" w:cs="Calibri" w:eastAsia="Calibri" w:hAnsi="Calibri"/>
                <w:b/>
                <w:bCs/>
                <w:i w:val="false"/>
                <w:iCs w:val="false"/>
                <w:caps w:val="false"/>
                <w:color w:val="6C4FCC"/>
                <w:sz w:val="38"/>
                <w:szCs w:val="38"/>
              </w:rPr>
              <w:t xml:space="preserve">10</w:t>
            </w:r>
          </w:p>
          <w:p>
            <w:pPr>
              <w:spacing w:after="0" w:before="0"/>
              <w:jc w:val="center"/>
            </w:pPr>
            <w:r>
              <w:rPr>
                <w:rFonts w:ascii="Calibri" w:cs="Calibri" w:eastAsia="Calibri" w:hAnsi="Calibri"/>
                <w:b w:val="false"/>
                <w:bCs w:val="false"/>
                <w:i w:val="false"/>
                <w:iCs w:val="false"/>
                <w:caps w:val="false"/>
                <w:color w:val="7A8A99"/>
                <w:sz w:val="19"/>
                <w:szCs w:val="19"/>
              </w:rPr>
              <w:t xml:space="preserve">Stories Built</w:t>
            </w:r>
          </w:p>
        </w:tc>
        <w:tc>
          <w:tcPr>
            <w:tcW w:type="dxa" w:w="2300"/>
            <w:tcBorders>
              <w:top w:val="single" w:color="CED4E8" w:sz="1"/>
              <w:left w:val="single" w:color="CED4E8" w:sz="1"/>
              <w:bottom w:val="single" w:color="CED4E8" w:sz="1"/>
              <w:right w:val="single" w:color="CED4E8" w:sz="1"/>
            </w:tcBorders>
            <w:shd w:fill="F0EAFF" w:val="clear"/>
            <w:tcMar>
              <w:top w:type="dxa" w:w="120"/>
              <w:left w:type="dxa" w:w="120"/>
              <w:bottom w:type="dxa" w:w="120"/>
              <w:right w:type="dxa" w:w="120"/>
            </w:tcMar>
          </w:tcPr>
          <w:p>
            <w:pPr>
              <w:spacing w:after="40" w:before="0"/>
              <w:jc w:val="center"/>
            </w:pPr>
            <w:r>
              <w:rPr>
                <w:rFonts w:ascii="Calibri" w:cs="Calibri" w:eastAsia="Calibri" w:hAnsi="Calibri"/>
                <w:b/>
                <w:bCs/>
                <w:i w:val="false"/>
                <w:iCs w:val="false"/>
                <w:caps w:val="false"/>
                <w:color w:val="6C4FCC"/>
                <w:sz w:val="38"/>
                <w:szCs w:val="38"/>
              </w:rPr>
              <w:t xml:space="preserve">35+</w:t>
            </w:r>
          </w:p>
          <w:p>
            <w:pPr>
              <w:spacing w:after="0" w:before="0"/>
              <w:jc w:val="center"/>
            </w:pPr>
            <w:r>
              <w:rPr>
                <w:rFonts w:ascii="Calibri" w:cs="Calibri" w:eastAsia="Calibri" w:hAnsi="Calibri"/>
                <w:b w:val="false"/>
                <w:bCs w:val="false"/>
                <w:i w:val="false"/>
                <w:iCs w:val="false"/>
                <w:caps w:val="false"/>
                <w:color w:val="7A8A99"/>
                <w:sz w:val="19"/>
                <w:szCs w:val="19"/>
              </w:rPr>
              <w:t xml:space="preserve">Q&amp;A Cards</w:t>
            </w:r>
          </w:p>
        </w:tc>
        <w:tc>
          <w:tcPr>
            <w:tcW w:type="dxa" w:w="2300"/>
            <w:tcBorders>
              <w:top w:val="single" w:color="CED4E8" w:sz="1"/>
              <w:left w:val="single" w:color="CED4E8" w:sz="1"/>
              <w:bottom w:val="single" w:color="CED4E8" w:sz="1"/>
              <w:right w:val="single" w:color="CED4E8" w:sz="1"/>
            </w:tcBorders>
            <w:shd w:fill="F0EAFF" w:val="clear"/>
            <w:tcMar>
              <w:top w:type="dxa" w:w="120"/>
              <w:left w:type="dxa" w:w="120"/>
              <w:bottom w:type="dxa" w:w="120"/>
              <w:right w:type="dxa" w:w="120"/>
            </w:tcMar>
          </w:tcPr>
          <w:p>
            <w:pPr>
              <w:spacing w:after="40" w:before="0"/>
              <w:jc w:val="center"/>
            </w:pPr>
            <w:r>
              <w:rPr>
                <w:rFonts w:ascii="Calibri" w:cs="Calibri" w:eastAsia="Calibri" w:hAnsi="Calibri"/>
                <w:b/>
                <w:bCs/>
                <w:i w:val="false"/>
                <w:iCs w:val="false"/>
                <w:caps w:val="false"/>
                <w:color w:val="6C4FCC"/>
                <w:sz w:val="38"/>
                <w:szCs w:val="38"/>
              </w:rPr>
              <w:t xml:space="preserve">Your</w:t>
            </w:r>
          </w:p>
          <w:p>
            <w:pPr>
              <w:spacing w:after="0" w:before="0"/>
              <w:jc w:val="center"/>
            </w:pPr>
            <w:r>
              <w:rPr>
                <w:rFonts w:ascii="Calibri" w:cs="Calibri" w:eastAsia="Calibri" w:hAnsi="Calibri"/>
                <w:b w:val="false"/>
                <w:bCs w:val="false"/>
                <w:i w:val="false"/>
                <w:iCs w:val="false"/>
                <w:caps w:val="false"/>
                <w:color w:val="7A8A99"/>
                <w:sz w:val="19"/>
                <w:szCs w:val="19"/>
              </w:rPr>
              <w:t xml:space="preserve">Real Stories</w:t>
            </w:r>
          </w:p>
        </w:tc>
      </w:tr>
    </w:tbl>
    <w:p>
      <w:r>
        <w:br w:type="page"/>
      </w:r>
    </w:p>
    <w:p>
      <w:pPr>
        <w:pStyle w:val="Heading1"/>
        <w:shd w:fill="1B2A4A" w:val="clear"/>
        <w:spacing w:after="200" w:before="440"/>
        <w:ind w:left="240" w:right="240"/>
      </w:pPr>
      <w:r>
        <w:rPr>
          <w:rFonts w:ascii="Calibri" w:cs="Calibri" w:eastAsia="Calibri" w:hAnsi="Calibri"/>
          <w:b/>
          <w:bCs/>
          <w:i w:val="false"/>
          <w:iCs w:val="false"/>
          <w:caps w:val="false"/>
          <w:color w:val="FFFFFF"/>
          <w:sz w:val="36"/>
          <w:szCs w:val="36"/>
        </w:rPr>
        <w:t xml:space="preserve">How This Guide Was Built — Your Profile at a Glance</w:t>
      </w:r>
    </w:p>
    <w:p>
      <w:pPr>
        <w:spacing w:after="90" w:before="40"/>
        <w:jc w:val="left"/>
      </w:pPr>
      <w:r>
        <w:rPr>
          <w:rFonts w:ascii="Calibri" w:cs="Calibri" w:eastAsia="Calibri" w:hAnsi="Calibri"/>
          <w:b w:val="false"/>
          <w:bCs w:val="false"/>
          <w:i w:val="false"/>
          <w:iCs w:val="false"/>
          <w:caps w:val="false"/>
          <w:color w:val="3A3A55"/>
          <w:sz w:val="22"/>
          <w:szCs w:val="22"/>
        </w:rPr>
        <w:t xml:space="preserve">This guide is not generic. Every story, every Q&amp;A answer, and every coaching note is written specifically for your background as a Principal UI Architect with 21+ years of experience spanning Wells Fargo, New York Life, ETS, and Biznuvo. Your stories are already there — this guide excavates them, structures them in STAR+ format, and sharpens them to resonate at ClickUp Principal Frontend Engineer level.</w:t>
      </w:r>
    </w:p>
    <w:p>
      <w:pPr>
        <w:spacing w:after="45" w:before="4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42" w:sz="20"/>
              <w:bottom w:val="none" w:color="FFFFFF" w:sz="0"/>
              <w:right w:val="none" w:color="FFFFFF" w:sz="0"/>
            </w:tcBorders>
            <w:shd w:fill="E4F7ED" w:val="clear"/>
            <w:tcMar>
              <w:top w:type="dxa" w:w="120"/>
              <w:left w:type="dxa" w:w="240"/>
              <w:bottom w:type="dxa" w:w="120"/>
              <w:right w:type="dxa" w:w="200"/>
            </w:tcMar>
          </w:tcPr>
          <w:p>
            <w:pPr>
              <w:spacing w:after="70" w:before="0"/>
              <w:jc w:val="left"/>
            </w:pPr>
            <w:r>
              <w:rPr>
                <w:rFonts w:ascii="Calibri" w:cs="Calibri" w:eastAsia="Calibri" w:hAnsi="Calibri"/>
                <w:b/>
                <w:bCs/>
                <w:i w:val="false"/>
                <w:iCs w:val="false"/>
                <w:caps w:val="false"/>
                <w:color w:val="1A7A42"/>
                <w:sz w:val="19"/>
                <w:szCs w:val="19"/>
              </w:rPr>
              <w:t xml:space="preserve">Your Competitive Edge for ClickUp</w:t>
            </w:r>
          </w:p>
          <w:p>
            <w:pPr>
              <w:spacing w:after="60" w:before="40"/>
              <w:jc w:val="left"/>
            </w:pPr>
            <w:r>
              <w:rPr>
                <w:rFonts w:ascii="Calibri" w:cs="Calibri" w:eastAsia="Calibri" w:hAnsi="Calibri"/>
                <w:b w:val="false"/>
                <w:bCs w:val="false"/>
                <w:i w:val="false"/>
                <w:iCs w:val="false"/>
                <w:caps w:val="false"/>
                <w:color w:val="3A3A55"/>
                <w:sz w:val="22"/>
                <w:szCs w:val="22"/>
              </w:rPr>
              <w:t xml:space="preserve">You have three rare advantages over most candidates:</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Angular 11→21 migration ownership at Wells Fargo — ClickUp is on Angular 20+ and actively migrating. You have done this exact thing across an enterprise org.</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Micro-frontend architecture at scale — you designed and implemented Module Federation + Nx Workspace for 7+ trading platforms. ClickUp's JD explicitly calls for this.</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Cross-team architectural governance — you established standards adopted by multiple teams and mentored 8+ engineers at Wells Fargo alone. This is the Principal-level signal ClickUp is hiring for.</w:t>
            </w:r>
          </w:p>
        </w:tc>
      </w:tr>
    </w:tbl>
    <w:p>
      <w:pPr>
        <w:spacing w:after="45" w:before="45"/>
      </w:pPr>
      <w:r>
        <w:t xml:space="preserve"/>
      </w:r>
    </w:p>
    <w:p>
      <w:pPr>
        <w:pStyle w:val="Heading3"/>
        <w:pBdr>
          <w:bottom w:val="single" w:color="5C3D99" w:sz="3" w:space="3"/>
        </w:pBdr>
        <w:spacing w:after="100" w:before="260"/>
      </w:pPr>
      <w:r>
        <w:rPr>
          <w:rFonts w:ascii="Calibri" w:cs="Calibri" w:eastAsia="Calibri" w:hAnsi="Calibri"/>
          <w:b/>
          <w:bCs/>
          <w:i w:val="false"/>
          <w:iCs w:val="false"/>
          <w:caps w:val="false"/>
          <w:color w:val="5C3D99"/>
          <w:sz w:val="24"/>
          <w:szCs w:val="24"/>
        </w:rPr>
        <w:t xml:space="preserve">Your Career Capital — Quick Map to ClickUp Competencies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ED4E8" w:sz="1"/>
              <w:left w:val="single" w:color="CED4E8" w:sz="1"/>
              <w:bottom w:val="single" w:color="CED4E8" w:sz="1"/>
              <w:right w:val="single" w:color="CED4E8" w:sz="1"/>
            </w:tcBorders>
            <w:shd w:fill="1B2A4A" w:val="clear"/>
            <w:tcMar>
              <w:top w:type="dxa" w:w="80"/>
              <w:left w:type="dxa" w:w="120"/>
              <w:bottom w:type="dxa" w:w="80"/>
              <w:right w:type="dxa" w:w="120"/>
            </w:tcMar>
          </w:tcPr>
          <w:p>
            <w:pPr>
              <w:spacing w:after="80" w:before="0"/>
              <w:jc w:val="left"/>
            </w:pPr>
            <w:r>
              <w:rPr>
                <w:rFonts w:ascii="Calibri" w:cs="Calibri" w:eastAsia="Calibri" w:hAnsi="Calibri"/>
                <w:b/>
                <w:bCs/>
                <w:i w:val="false"/>
                <w:iCs w:val="false"/>
                <w:caps w:val="false"/>
                <w:color w:val="FFFFFF"/>
                <w:sz w:val="19"/>
                <w:szCs w:val="19"/>
              </w:rPr>
              <w:t xml:space="preserve">Your Experience</w:t>
            </w:r>
          </w:p>
        </w:tc>
        <w:tc>
          <w:tcPr>
            <w:tcW w:type="dxa" w:w="3200"/>
            <w:tcBorders>
              <w:top w:val="single" w:color="CED4E8" w:sz="1"/>
              <w:left w:val="single" w:color="CED4E8" w:sz="1"/>
              <w:bottom w:val="single" w:color="CED4E8" w:sz="1"/>
              <w:right w:val="single" w:color="CED4E8" w:sz="1"/>
            </w:tcBorders>
            <w:shd w:fill="1B2A4A" w:val="clear"/>
            <w:tcMar>
              <w:top w:type="dxa" w:w="80"/>
              <w:left w:type="dxa" w:w="120"/>
              <w:bottom w:type="dxa" w:w="80"/>
              <w:right w:type="dxa" w:w="120"/>
            </w:tcMar>
          </w:tcPr>
          <w:p>
            <w:pPr>
              <w:spacing w:after="80" w:before="0"/>
              <w:jc w:val="left"/>
            </w:pPr>
            <w:r>
              <w:rPr>
                <w:rFonts w:ascii="Calibri" w:cs="Calibri" w:eastAsia="Calibri" w:hAnsi="Calibri"/>
                <w:b/>
                <w:bCs/>
                <w:i w:val="false"/>
                <w:iCs w:val="false"/>
                <w:caps w:val="false"/>
                <w:color w:val="FFFFFF"/>
                <w:sz w:val="19"/>
                <w:szCs w:val="19"/>
              </w:rPr>
              <w:t xml:space="preserve">ClickUp Competency</w:t>
            </w:r>
          </w:p>
        </w:tc>
        <w:tc>
          <w:tcPr>
            <w:tcW w:type="dxa" w:w="2960"/>
            <w:tcBorders>
              <w:top w:val="single" w:color="CED4E8" w:sz="1"/>
              <w:left w:val="single" w:color="CED4E8" w:sz="1"/>
              <w:bottom w:val="single" w:color="CED4E8" w:sz="1"/>
              <w:right w:val="single" w:color="CED4E8" w:sz="1"/>
            </w:tcBorders>
            <w:shd w:fill="1B2A4A" w:val="clear"/>
            <w:tcMar>
              <w:top w:type="dxa" w:w="80"/>
              <w:left w:type="dxa" w:w="120"/>
              <w:bottom w:type="dxa" w:w="80"/>
              <w:right w:type="dxa" w:w="120"/>
            </w:tcMar>
          </w:tcPr>
          <w:p>
            <w:pPr>
              <w:spacing w:after="80" w:before="0"/>
              <w:jc w:val="left"/>
            </w:pPr>
            <w:r>
              <w:rPr>
                <w:rFonts w:ascii="Calibri" w:cs="Calibri" w:eastAsia="Calibri" w:hAnsi="Calibri"/>
                <w:b/>
                <w:bCs/>
                <w:i w:val="false"/>
                <w:iCs w:val="false"/>
                <w:caps w:val="false"/>
                <w:color w:val="FFFFFF"/>
                <w:sz w:val="19"/>
                <w:szCs w:val="19"/>
              </w:rPr>
              <w:t xml:space="preserve">Story Potential</w:t>
            </w:r>
          </w:p>
        </w:tc>
      </w:tr>
      <w:tr>
        <w:tc>
          <w:tcPr>
            <w:tcW w:type="dxa" w:w="3200"/>
            <w:tcBorders>
              <w:top w:val="single" w:color="CED4E8" w:sz="1"/>
              <w:left w:val="single" w:color="CED4E8" w:sz="1"/>
              <w:bottom w:val="single" w:color="CED4E8" w:sz="1"/>
              <w:right w:val="single" w:color="CED4E8" w:sz="1"/>
            </w:tcBorders>
            <w:shd w:fill="F8F9FC" w:val="clear"/>
            <w:tcMar>
              <w:top w:type="dxa" w:w="70"/>
              <w:left w:type="dxa" w:w="120"/>
              <w:bottom w:type="dxa" w:w="70"/>
              <w:right w:type="dxa" w:w="120"/>
            </w:tcMar>
          </w:tcPr>
          <w:p>
            <w:pPr>
              <w:spacing w:after="80" w:before="0"/>
              <w:jc w:val="left"/>
            </w:pPr>
            <w:r>
              <w:rPr>
                <w:rFonts w:ascii="Calibri" w:cs="Calibri" w:eastAsia="Calibri" w:hAnsi="Calibri"/>
                <w:b/>
                <w:bCs/>
                <w:i w:val="false"/>
                <w:iCs w:val="false"/>
                <w:caps w:val="false"/>
                <w:color w:val="1B2A4A"/>
                <w:sz w:val="19"/>
                <w:szCs w:val="19"/>
              </w:rPr>
              <w:t xml:space="preserve">Angular v11→v21 migration, Hydra suite, Wells Fargo</w:t>
            </w:r>
          </w:p>
        </w:tc>
        <w:tc>
          <w:tcPr>
            <w:tcW w:type="dxa" w:w="3200"/>
            <w:tcBorders>
              <w:top w:val="single" w:color="CED4E8" w:sz="1"/>
              <w:left w:val="single" w:color="CED4E8" w:sz="1"/>
              <w:bottom w:val="single" w:color="CED4E8" w:sz="1"/>
              <w:right w:val="single" w:color="CED4E8" w:sz="1"/>
            </w:tcBorders>
            <w:shd w:fill="F8F9FC" w:val="clear"/>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caps w:val="false"/>
                <w:color w:val="3A3A55"/>
                <w:sz w:val="19"/>
                <w:szCs w:val="19"/>
              </w:rPr>
              <w:t xml:space="preserve">Angular 20+ signals migration leadership</w:t>
            </w:r>
          </w:p>
        </w:tc>
        <w:tc>
          <w:tcPr>
            <w:tcW w:type="dxa" w:w="2960"/>
            <w:tcBorders>
              <w:top w:val="single" w:color="CED4E8" w:sz="1"/>
              <w:left w:val="single" w:color="CED4E8" w:sz="1"/>
              <w:bottom w:val="single" w:color="CED4E8" w:sz="1"/>
              <w:right w:val="single" w:color="CED4E8" w:sz="1"/>
            </w:tcBorders>
            <w:shd w:fill="F8F9FC" w:val="clear"/>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caps w:val="false"/>
                <w:color w:val="3A3A55"/>
                <w:sz w:val="19"/>
                <w:szCs w:val="19"/>
              </w:rPr>
              <w:t xml:space="preserve">Story 1: Architecture decision + migration strategy</w:t>
            </w:r>
          </w:p>
        </w:tc>
      </w:tr>
      <w:tr>
        <w:tc>
          <w:tcPr>
            <w:tcW w:type="dxa" w:w="3200"/>
            <w:tcBorders>
              <w:top w:val="single" w:color="CED4E8" w:sz="1"/>
              <w:left w:val="single" w:color="CED4E8" w:sz="1"/>
              <w:bottom w:val="single" w:color="CED4E8" w:sz="1"/>
              <w:right w:val="single" w:color="CED4E8" w:sz="1"/>
            </w:tcBorders>
            <w:shd w:fill="FFFFFF" w:val="clear"/>
            <w:tcMar>
              <w:top w:type="dxa" w:w="70"/>
              <w:left w:type="dxa" w:w="120"/>
              <w:bottom w:type="dxa" w:w="70"/>
              <w:right w:type="dxa" w:w="120"/>
            </w:tcMar>
          </w:tcPr>
          <w:p>
            <w:pPr>
              <w:spacing w:after="80" w:before="0"/>
              <w:jc w:val="left"/>
            </w:pPr>
            <w:r>
              <w:rPr>
                <w:rFonts w:ascii="Calibri" w:cs="Calibri" w:eastAsia="Calibri" w:hAnsi="Calibri"/>
                <w:b/>
                <w:bCs/>
                <w:i w:val="false"/>
                <w:iCs w:val="false"/>
                <w:caps w:val="false"/>
                <w:color w:val="1B2A4A"/>
                <w:sz w:val="19"/>
                <w:szCs w:val="19"/>
              </w:rPr>
              <w:t xml:space="preserve">Module Federation + Nx Workspace, 7+ trading platforms, Wells Fargo</w:t>
            </w:r>
          </w:p>
        </w:tc>
        <w:tc>
          <w:tcPr>
            <w:tcW w:type="dxa" w:w="3200"/>
            <w:tcBorders>
              <w:top w:val="single" w:color="CED4E8" w:sz="1"/>
              <w:left w:val="single" w:color="CED4E8" w:sz="1"/>
              <w:bottom w:val="single" w:color="CED4E8" w:sz="1"/>
              <w:right w:val="single" w:color="CED4E8" w:sz="1"/>
            </w:tcBorders>
            <w:shd w:fill="FFFFFF" w:val="clear"/>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caps w:val="false"/>
                <w:color w:val="3A3A55"/>
                <w:sz w:val="19"/>
                <w:szCs w:val="19"/>
              </w:rPr>
              <w:t xml:space="preserve">Micro-frontend architecture at scale</w:t>
            </w:r>
          </w:p>
        </w:tc>
        <w:tc>
          <w:tcPr>
            <w:tcW w:type="dxa" w:w="2960"/>
            <w:tcBorders>
              <w:top w:val="single" w:color="CED4E8" w:sz="1"/>
              <w:left w:val="single" w:color="CED4E8" w:sz="1"/>
              <w:bottom w:val="single" w:color="CED4E8" w:sz="1"/>
              <w:right w:val="single" w:color="CED4E8" w:sz="1"/>
            </w:tcBorders>
            <w:shd w:fill="FFFFFF" w:val="clear"/>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caps w:val="false"/>
                <w:color w:val="3A3A55"/>
                <w:sz w:val="19"/>
                <w:szCs w:val="19"/>
              </w:rPr>
              <w:t xml:space="preserve">Story 2: Influence without authority + Story 7: Debt resolution</w:t>
            </w:r>
          </w:p>
        </w:tc>
      </w:tr>
      <w:tr>
        <w:tc>
          <w:tcPr>
            <w:tcW w:type="dxa" w:w="3200"/>
            <w:tcBorders>
              <w:top w:val="single" w:color="CED4E8" w:sz="1"/>
              <w:left w:val="single" w:color="CED4E8" w:sz="1"/>
              <w:bottom w:val="single" w:color="CED4E8" w:sz="1"/>
              <w:right w:val="single" w:color="CED4E8" w:sz="1"/>
            </w:tcBorders>
            <w:shd w:fill="F8F9FC" w:val="clear"/>
            <w:tcMar>
              <w:top w:type="dxa" w:w="70"/>
              <w:left w:type="dxa" w:w="120"/>
              <w:bottom w:type="dxa" w:w="70"/>
              <w:right w:type="dxa" w:w="120"/>
            </w:tcMar>
          </w:tcPr>
          <w:p>
            <w:pPr>
              <w:spacing w:after="80" w:before="0"/>
              <w:jc w:val="left"/>
            </w:pPr>
            <w:r>
              <w:rPr>
                <w:rFonts w:ascii="Calibri" w:cs="Calibri" w:eastAsia="Calibri" w:hAnsi="Calibri"/>
                <w:b/>
                <w:bCs/>
                <w:i w:val="false"/>
                <w:iCs w:val="false"/>
                <w:caps w:val="false"/>
                <w:color w:val="1B2A4A"/>
                <w:sz w:val="19"/>
                <w:szCs w:val="19"/>
              </w:rPr>
              <w:t xml:space="preserve">Centralised Apigee auth platform across 10+ apps</w:t>
            </w:r>
          </w:p>
        </w:tc>
        <w:tc>
          <w:tcPr>
            <w:tcW w:type="dxa" w:w="3200"/>
            <w:tcBorders>
              <w:top w:val="single" w:color="CED4E8" w:sz="1"/>
              <w:left w:val="single" w:color="CED4E8" w:sz="1"/>
              <w:bottom w:val="single" w:color="CED4E8" w:sz="1"/>
              <w:right w:val="single" w:color="CED4E8" w:sz="1"/>
            </w:tcBorders>
            <w:shd w:fill="F8F9FC" w:val="clear"/>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caps w:val="false"/>
                <w:color w:val="3A3A55"/>
                <w:sz w:val="19"/>
                <w:szCs w:val="19"/>
              </w:rPr>
              <w:t xml:space="preserve">Cross-team architectural alignment</w:t>
            </w:r>
          </w:p>
        </w:tc>
        <w:tc>
          <w:tcPr>
            <w:tcW w:type="dxa" w:w="2960"/>
            <w:tcBorders>
              <w:top w:val="single" w:color="CED4E8" w:sz="1"/>
              <w:left w:val="single" w:color="CED4E8" w:sz="1"/>
              <w:bottom w:val="single" w:color="CED4E8" w:sz="1"/>
              <w:right w:val="single" w:color="CED4E8" w:sz="1"/>
            </w:tcBorders>
            <w:shd w:fill="F8F9FC" w:val="clear"/>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caps w:val="false"/>
                <w:color w:val="3A3A55"/>
                <w:sz w:val="19"/>
                <w:szCs w:val="19"/>
              </w:rPr>
              <w:t xml:space="preserve">Story 8: Drove org-wide standards</w:t>
            </w:r>
          </w:p>
        </w:tc>
      </w:tr>
      <w:tr>
        <w:tc>
          <w:tcPr>
            <w:tcW w:type="dxa" w:w="3200"/>
            <w:tcBorders>
              <w:top w:val="single" w:color="CED4E8" w:sz="1"/>
              <w:left w:val="single" w:color="CED4E8" w:sz="1"/>
              <w:bottom w:val="single" w:color="CED4E8" w:sz="1"/>
              <w:right w:val="single" w:color="CED4E8" w:sz="1"/>
            </w:tcBorders>
            <w:shd w:fill="FFFFFF" w:val="clear"/>
            <w:tcMar>
              <w:top w:type="dxa" w:w="70"/>
              <w:left w:type="dxa" w:w="120"/>
              <w:bottom w:type="dxa" w:w="70"/>
              <w:right w:type="dxa" w:w="120"/>
            </w:tcMar>
          </w:tcPr>
          <w:p>
            <w:pPr>
              <w:spacing w:after="80" w:before="0"/>
              <w:jc w:val="left"/>
            </w:pPr>
            <w:r>
              <w:rPr>
                <w:rFonts w:ascii="Calibri" w:cs="Calibri" w:eastAsia="Calibri" w:hAnsi="Calibri"/>
                <w:b/>
                <w:bCs/>
                <w:i w:val="false"/>
                <w:iCs w:val="false"/>
                <w:caps w:val="false"/>
                <w:color w:val="1B2A4A"/>
                <w:sz w:val="19"/>
                <w:szCs w:val="19"/>
              </w:rPr>
              <w:t xml:space="preserve">Mentored 8+ engineers + cross-team governance, Wells Fargo</w:t>
            </w:r>
          </w:p>
        </w:tc>
        <w:tc>
          <w:tcPr>
            <w:tcW w:type="dxa" w:w="3200"/>
            <w:tcBorders>
              <w:top w:val="single" w:color="CED4E8" w:sz="1"/>
              <w:left w:val="single" w:color="CED4E8" w:sz="1"/>
              <w:bottom w:val="single" w:color="CED4E8" w:sz="1"/>
              <w:right w:val="single" w:color="CED4E8" w:sz="1"/>
            </w:tcBorders>
            <w:shd w:fill="FFFFFF" w:val="clear"/>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caps w:val="false"/>
                <w:color w:val="3A3A55"/>
                <w:sz w:val="19"/>
                <w:szCs w:val="19"/>
              </w:rPr>
              <w:t xml:space="preserve">Mentorship &amp; growing engineers</w:t>
            </w:r>
          </w:p>
        </w:tc>
        <w:tc>
          <w:tcPr>
            <w:tcW w:type="dxa" w:w="2960"/>
            <w:tcBorders>
              <w:top w:val="single" w:color="CED4E8" w:sz="1"/>
              <w:left w:val="single" w:color="CED4E8" w:sz="1"/>
              <w:bottom w:val="single" w:color="CED4E8" w:sz="1"/>
              <w:right w:val="single" w:color="CED4E8" w:sz="1"/>
            </w:tcBorders>
            <w:shd w:fill="FFFFFF" w:val="clear"/>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caps w:val="false"/>
                <w:color w:val="3A3A55"/>
                <w:sz w:val="19"/>
                <w:szCs w:val="19"/>
              </w:rPr>
              <w:t xml:space="preserve">Story 5: Engineer growth</w:t>
            </w:r>
          </w:p>
        </w:tc>
      </w:tr>
      <w:tr>
        <w:tc>
          <w:tcPr>
            <w:tcW w:type="dxa" w:w="3200"/>
            <w:tcBorders>
              <w:top w:val="single" w:color="CED4E8" w:sz="1"/>
              <w:left w:val="single" w:color="CED4E8" w:sz="1"/>
              <w:bottom w:val="single" w:color="CED4E8" w:sz="1"/>
              <w:right w:val="single" w:color="CED4E8" w:sz="1"/>
            </w:tcBorders>
            <w:shd w:fill="F8F9FC" w:val="clear"/>
            <w:tcMar>
              <w:top w:type="dxa" w:w="70"/>
              <w:left w:type="dxa" w:w="120"/>
              <w:bottom w:type="dxa" w:w="70"/>
              <w:right w:type="dxa" w:w="120"/>
            </w:tcMar>
          </w:tcPr>
          <w:p>
            <w:pPr>
              <w:spacing w:after="80" w:before="0"/>
              <w:jc w:val="left"/>
            </w:pPr>
            <w:r>
              <w:rPr>
                <w:rFonts w:ascii="Calibri" w:cs="Calibri" w:eastAsia="Calibri" w:hAnsi="Calibri"/>
                <w:b/>
                <w:bCs/>
                <w:i w:val="false"/>
                <w:iCs w:val="false"/>
                <w:caps w:val="false"/>
                <w:color w:val="1B2A4A"/>
                <w:sz w:val="19"/>
                <w:szCs w:val="19"/>
              </w:rPr>
              <w:t xml:space="preserve">NgRx Facade pattern, NYL MDM Portal</w:t>
            </w:r>
          </w:p>
        </w:tc>
        <w:tc>
          <w:tcPr>
            <w:tcW w:type="dxa" w:w="3200"/>
            <w:tcBorders>
              <w:top w:val="single" w:color="CED4E8" w:sz="1"/>
              <w:left w:val="single" w:color="CED4E8" w:sz="1"/>
              <w:bottom w:val="single" w:color="CED4E8" w:sz="1"/>
              <w:right w:val="single" w:color="CED4E8" w:sz="1"/>
            </w:tcBorders>
            <w:shd w:fill="F8F9FC" w:val="clear"/>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caps w:val="false"/>
                <w:color w:val="3A3A55"/>
                <w:sz w:val="19"/>
                <w:szCs w:val="19"/>
              </w:rPr>
              <w:t xml:space="preserve">State management architecture</w:t>
            </w:r>
          </w:p>
        </w:tc>
        <w:tc>
          <w:tcPr>
            <w:tcW w:type="dxa" w:w="2960"/>
            <w:tcBorders>
              <w:top w:val="single" w:color="CED4E8" w:sz="1"/>
              <w:left w:val="single" w:color="CED4E8" w:sz="1"/>
              <w:bottom w:val="single" w:color="CED4E8" w:sz="1"/>
              <w:right w:val="single" w:color="CED4E8" w:sz="1"/>
            </w:tcBorders>
            <w:shd w:fill="F8F9FC" w:val="clear"/>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caps w:val="false"/>
                <w:color w:val="3A3A55"/>
                <w:sz w:val="19"/>
                <w:szCs w:val="19"/>
              </w:rPr>
              <w:t xml:space="preserve">Technical depth + Story 3: Pushback</w:t>
            </w:r>
          </w:p>
        </w:tc>
      </w:tr>
      <w:tr>
        <w:tc>
          <w:tcPr>
            <w:tcW w:type="dxa" w:w="3200"/>
            <w:tcBorders>
              <w:top w:val="single" w:color="CED4E8" w:sz="1"/>
              <w:left w:val="single" w:color="CED4E8" w:sz="1"/>
              <w:bottom w:val="single" w:color="CED4E8" w:sz="1"/>
              <w:right w:val="single" w:color="CED4E8" w:sz="1"/>
            </w:tcBorders>
            <w:shd w:fill="FFFFFF" w:val="clear"/>
            <w:tcMar>
              <w:top w:type="dxa" w:w="70"/>
              <w:left w:type="dxa" w:w="120"/>
              <w:bottom w:type="dxa" w:w="70"/>
              <w:right w:type="dxa" w:w="120"/>
            </w:tcMar>
          </w:tcPr>
          <w:p>
            <w:pPr>
              <w:spacing w:after="80" w:before="0"/>
              <w:jc w:val="left"/>
            </w:pPr>
            <w:r>
              <w:rPr>
                <w:rFonts w:ascii="Calibri" w:cs="Calibri" w:eastAsia="Calibri" w:hAnsi="Calibri"/>
                <w:b/>
                <w:bCs/>
                <w:i w:val="false"/>
                <w:iCs w:val="false"/>
                <w:caps w:val="false"/>
                <w:color w:val="1B2A4A"/>
                <w:sz w:val="19"/>
                <w:szCs w:val="19"/>
              </w:rPr>
              <w:t xml:space="preserve">AWS WebSocket 20% latency reduction, ETS</w:t>
            </w:r>
          </w:p>
        </w:tc>
        <w:tc>
          <w:tcPr>
            <w:tcW w:type="dxa" w:w="3200"/>
            <w:tcBorders>
              <w:top w:val="single" w:color="CED4E8" w:sz="1"/>
              <w:left w:val="single" w:color="CED4E8" w:sz="1"/>
              <w:bottom w:val="single" w:color="CED4E8" w:sz="1"/>
              <w:right w:val="single" w:color="CED4E8" w:sz="1"/>
            </w:tcBorders>
            <w:shd w:fill="FFFFFF" w:val="clear"/>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caps w:val="false"/>
                <w:color w:val="3A3A55"/>
                <w:sz w:val="19"/>
                <w:szCs w:val="19"/>
              </w:rPr>
              <w:t xml:space="preserve">Performance at scale with metrics</w:t>
            </w:r>
          </w:p>
        </w:tc>
        <w:tc>
          <w:tcPr>
            <w:tcW w:type="dxa" w:w="2960"/>
            <w:tcBorders>
              <w:top w:val="single" w:color="CED4E8" w:sz="1"/>
              <w:left w:val="single" w:color="CED4E8" w:sz="1"/>
              <w:bottom w:val="single" w:color="CED4E8" w:sz="1"/>
              <w:right w:val="single" w:color="CED4E8" w:sz="1"/>
            </w:tcBorders>
            <w:shd w:fill="FFFFFF" w:val="clear"/>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caps w:val="false"/>
                <w:color w:val="3A3A55"/>
                <w:sz w:val="19"/>
                <w:szCs w:val="19"/>
              </w:rPr>
              <w:t xml:space="preserve">Story 6: Deadline + Story 4: DX improvement</w:t>
            </w:r>
          </w:p>
        </w:tc>
      </w:tr>
      <w:tr>
        <w:tc>
          <w:tcPr>
            <w:tcW w:type="dxa" w:w="3200"/>
            <w:tcBorders>
              <w:top w:val="single" w:color="CED4E8" w:sz="1"/>
              <w:left w:val="single" w:color="CED4E8" w:sz="1"/>
              <w:bottom w:val="single" w:color="CED4E8" w:sz="1"/>
              <w:right w:val="single" w:color="CED4E8" w:sz="1"/>
            </w:tcBorders>
            <w:shd w:fill="F8F9FC" w:val="clear"/>
            <w:tcMar>
              <w:top w:type="dxa" w:w="70"/>
              <w:left w:type="dxa" w:w="120"/>
              <w:bottom w:type="dxa" w:w="70"/>
              <w:right w:type="dxa" w:w="120"/>
            </w:tcMar>
          </w:tcPr>
          <w:p>
            <w:pPr>
              <w:spacing w:after="80" w:before="0"/>
              <w:jc w:val="left"/>
            </w:pPr>
            <w:r>
              <w:rPr>
                <w:rFonts w:ascii="Calibri" w:cs="Calibri" w:eastAsia="Calibri" w:hAnsi="Calibri"/>
                <w:b/>
                <w:bCs/>
                <w:i w:val="false"/>
                <w:iCs w:val="false"/>
                <w:caps w:val="false"/>
                <w:color w:val="1B2A4A"/>
                <w:sz w:val="19"/>
                <w:szCs w:val="19"/>
              </w:rPr>
              <w:t xml:space="preserve">WCAG 100% compliance, ETS Test Client</w:t>
            </w:r>
          </w:p>
        </w:tc>
        <w:tc>
          <w:tcPr>
            <w:tcW w:type="dxa" w:w="3200"/>
            <w:tcBorders>
              <w:top w:val="single" w:color="CED4E8" w:sz="1"/>
              <w:left w:val="single" w:color="CED4E8" w:sz="1"/>
              <w:bottom w:val="single" w:color="CED4E8" w:sz="1"/>
              <w:right w:val="single" w:color="CED4E8" w:sz="1"/>
            </w:tcBorders>
            <w:shd w:fill="F8F9FC" w:val="clear"/>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caps w:val="false"/>
                <w:color w:val="3A3A55"/>
                <w:sz w:val="19"/>
                <w:szCs w:val="19"/>
              </w:rPr>
              <w:t xml:space="preserve">Quality standards ownership</w:t>
            </w:r>
          </w:p>
        </w:tc>
        <w:tc>
          <w:tcPr>
            <w:tcW w:type="dxa" w:w="2960"/>
            <w:tcBorders>
              <w:top w:val="single" w:color="CED4E8" w:sz="1"/>
              <w:left w:val="single" w:color="CED4E8" w:sz="1"/>
              <w:bottom w:val="single" w:color="CED4E8" w:sz="1"/>
              <w:right w:val="single" w:color="CED4E8" w:sz="1"/>
            </w:tcBorders>
            <w:shd w:fill="F8F9FC" w:val="clear"/>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caps w:val="false"/>
                <w:color w:val="3A3A55"/>
                <w:sz w:val="19"/>
                <w:szCs w:val="19"/>
              </w:rPr>
              <w:t xml:space="preserve">Story 9: Quality under pressure</w:t>
            </w:r>
          </w:p>
        </w:tc>
      </w:tr>
      <w:tr>
        <w:tc>
          <w:tcPr>
            <w:tcW w:type="dxa" w:w="3200"/>
            <w:tcBorders>
              <w:top w:val="single" w:color="CED4E8" w:sz="1"/>
              <w:left w:val="single" w:color="CED4E8" w:sz="1"/>
              <w:bottom w:val="single" w:color="CED4E8" w:sz="1"/>
              <w:right w:val="single" w:color="CED4E8" w:sz="1"/>
            </w:tcBorders>
            <w:shd w:fill="FFFFFF" w:val="clear"/>
            <w:tcMar>
              <w:top w:type="dxa" w:w="70"/>
              <w:left w:type="dxa" w:w="120"/>
              <w:bottom w:type="dxa" w:w="70"/>
              <w:right w:type="dxa" w:w="120"/>
            </w:tcMar>
          </w:tcPr>
          <w:p>
            <w:pPr>
              <w:spacing w:after="80" w:before="0"/>
              <w:jc w:val="left"/>
            </w:pPr>
            <w:r>
              <w:rPr>
                <w:rFonts w:ascii="Calibri" w:cs="Calibri" w:eastAsia="Calibri" w:hAnsi="Calibri"/>
                <w:b/>
                <w:bCs/>
                <w:i w:val="false"/>
                <w:iCs w:val="false"/>
                <w:caps w:val="false"/>
                <w:color w:val="1B2A4A"/>
                <w:sz w:val="19"/>
                <w:szCs w:val="19"/>
              </w:rPr>
              <w:t xml:space="preserve">Memory leak fixes, Biznuvo SPA improvements</w:t>
            </w:r>
          </w:p>
        </w:tc>
        <w:tc>
          <w:tcPr>
            <w:tcW w:type="dxa" w:w="3200"/>
            <w:tcBorders>
              <w:top w:val="single" w:color="CED4E8" w:sz="1"/>
              <w:left w:val="single" w:color="CED4E8" w:sz="1"/>
              <w:bottom w:val="single" w:color="CED4E8" w:sz="1"/>
              <w:right w:val="single" w:color="CED4E8" w:sz="1"/>
            </w:tcBorders>
            <w:shd w:fill="FFFFFF" w:val="clear"/>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caps w:val="false"/>
                <w:color w:val="3A3A55"/>
                <w:sz w:val="19"/>
                <w:szCs w:val="19"/>
              </w:rPr>
              <w:t xml:space="preserve">Technical debt strategy</w:t>
            </w:r>
          </w:p>
        </w:tc>
        <w:tc>
          <w:tcPr>
            <w:tcW w:type="dxa" w:w="2960"/>
            <w:tcBorders>
              <w:top w:val="single" w:color="CED4E8" w:sz="1"/>
              <w:left w:val="single" w:color="CED4E8" w:sz="1"/>
              <w:bottom w:val="single" w:color="CED4E8" w:sz="1"/>
              <w:right w:val="single" w:color="CED4E8" w:sz="1"/>
            </w:tcBorders>
            <w:shd w:fill="FFFFFF" w:val="clear"/>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caps w:val="false"/>
                <w:color w:val="3A3A55"/>
                <w:sz w:val="19"/>
                <w:szCs w:val="19"/>
              </w:rPr>
              <w:t xml:space="preserve">Story 7: Technical debt</w:t>
            </w:r>
          </w:p>
        </w:tc>
      </w:tr>
      <w:tr>
        <w:tc>
          <w:tcPr>
            <w:tcW w:type="dxa" w:w="3200"/>
            <w:tcBorders>
              <w:top w:val="single" w:color="CED4E8" w:sz="1"/>
              <w:left w:val="single" w:color="CED4E8" w:sz="1"/>
              <w:bottom w:val="single" w:color="CED4E8" w:sz="1"/>
              <w:right w:val="single" w:color="CED4E8" w:sz="1"/>
            </w:tcBorders>
            <w:shd w:fill="F8F9FC" w:val="clear"/>
            <w:tcMar>
              <w:top w:type="dxa" w:w="70"/>
              <w:left w:type="dxa" w:w="120"/>
              <w:bottom w:type="dxa" w:w="70"/>
              <w:right w:type="dxa" w:w="120"/>
            </w:tcMar>
          </w:tcPr>
          <w:p>
            <w:pPr>
              <w:spacing w:after="80" w:before="0"/>
              <w:jc w:val="left"/>
            </w:pPr>
            <w:r>
              <w:rPr>
                <w:rFonts w:ascii="Calibri" w:cs="Calibri" w:eastAsia="Calibri" w:hAnsi="Calibri"/>
                <w:b/>
                <w:bCs/>
                <w:i w:val="false"/>
                <w:iCs w:val="false"/>
                <w:caps w:val="false"/>
                <w:color w:val="1B2A4A"/>
                <w:sz w:val="19"/>
                <w:szCs w:val="19"/>
              </w:rPr>
              <w:t xml:space="preserve">NestJS API platform for fixed income data</w:t>
            </w:r>
          </w:p>
        </w:tc>
        <w:tc>
          <w:tcPr>
            <w:tcW w:type="dxa" w:w="3200"/>
            <w:tcBorders>
              <w:top w:val="single" w:color="CED4E8" w:sz="1"/>
              <w:left w:val="single" w:color="CED4E8" w:sz="1"/>
              <w:bottom w:val="single" w:color="CED4E8" w:sz="1"/>
              <w:right w:val="single" w:color="CED4E8" w:sz="1"/>
            </w:tcBorders>
            <w:shd w:fill="F8F9FC" w:val="clear"/>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caps w:val="false"/>
                <w:color w:val="3A3A55"/>
                <w:sz w:val="19"/>
                <w:szCs w:val="19"/>
              </w:rPr>
              <w:t xml:space="preserve">Full-stack architectural thinking</w:t>
            </w:r>
          </w:p>
        </w:tc>
        <w:tc>
          <w:tcPr>
            <w:tcW w:type="dxa" w:w="2960"/>
            <w:tcBorders>
              <w:top w:val="single" w:color="CED4E8" w:sz="1"/>
              <w:left w:val="single" w:color="CED4E8" w:sz="1"/>
              <w:bottom w:val="single" w:color="CED4E8" w:sz="1"/>
              <w:right w:val="single" w:color="CED4E8" w:sz="1"/>
            </w:tcBorders>
            <w:shd w:fill="F8F9FC" w:val="clear"/>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caps w:val="false"/>
                <w:color w:val="3A3A55"/>
                <w:sz w:val="19"/>
                <w:szCs w:val="19"/>
              </w:rPr>
              <w:t xml:space="preserve">Technical depth answers</w:t>
            </w:r>
          </w:p>
        </w:tc>
      </w:tr>
      <w:tr>
        <w:tc>
          <w:tcPr>
            <w:tcW w:type="dxa" w:w="3200"/>
            <w:tcBorders>
              <w:top w:val="single" w:color="CED4E8" w:sz="1"/>
              <w:left w:val="single" w:color="CED4E8" w:sz="1"/>
              <w:bottom w:val="single" w:color="CED4E8" w:sz="1"/>
              <w:right w:val="single" w:color="CED4E8" w:sz="1"/>
            </w:tcBorders>
            <w:shd w:fill="FFFFFF" w:val="clear"/>
            <w:tcMar>
              <w:top w:type="dxa" w:w="70"/>
              <w:left w:type="dxa" w:w="120"/>
              <w:bottom w:type="dxa" w:w="70"/>
              <w:right w:type="dxa" w:w="120"/>
            </w:tcMar>
          </w:tcPr>
          <w:p>
            <w:pPr>
              <w:spacing w:after="80" w:before="0"/>
              <w:jc w:val="left"/>
            </w:pPr>
            <w:r>
              <w:rPr>
                <w:rFonts w:ascii="Calibri" w:cs="Calibri" w:eastAsia="Calibri" w:hAnsi="Calibri"/>
                <w:b/>
                <w:bCs/>
                <w:i w:val="false"/>
                <w:iCs w:val="false"/>
                <w:caps w:val="false"/>
                <w:color w:val="1B2A4A"/>
                <w:sz w:val="19"/>
                <w:szCs w:val="19"/>
              </w:rPr>
              <w:t xml:space="preserve">OpenFin desktop→web transformation, 7 platforms</w:t>
            </w:r>
          </w:p>
        </w:tc>
        <w:tc>
          <w:tcPr>
            <w:tcW w:type="dxa" w:w="3200"/>
            <w:tcBorders>
              <w:top w:val="single" w:color="CED4E8" w:sz="1"/>
              <w:left w:val="single" w:color="CED4E8" w:sz="1"/>
              <w:bottom w:val="single" w:color="CED4E8" w:sz="1"/>
              <w:right w:val="single" w:color="CED4E8" w:sz="1"/>
            </w:tcBorders>
            <w:shd w:fill="FFFFFF" w:val="clear"/>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caps w:val="false"/>
                <w:color w:val="3A3A55"/>
                <w:sz w:val="19"/>
                <w:szCs w:val="19"/>
              </w:rPr>
              <w:t xml:space="preserve">Modernisation leadership at scale</w:t>
            </w:r>
          </w:p>
        </w:tc>
        <w:tc>
          <w:tcPr>
            <w:tcW w:type="dxa" w:w="2960"/>
            <w:tcBorders>
              <w:top w:val="single" w:color="CED4E8" w:sz="1"/>
              <w:left w:val="single" w:color="CED4E8" w:sz="1"/>
              <w:bottom w:val="single" w:color="CED4E8" w:sz="1"/>
              <w:right w:val="single" w:color="CED4E8" w:sz="1"/>
            </w:tcBorders>
            <w:shd w:fill="FFFFFF" w:val="clear"/>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caps w:val="false"/>
                <w:color w:val="3A3A55"/>
                <w:sz w:val="19"/>
                <w:szCs w:val="19"/>
              </w:rPr>
              <w:t xml:space="preserve">Story 10: Built at scale</w:t>
            </w:r>
          </w:p>
        </w:tc>
      </w:tr>
    </w:tbl>
    <w:p>
      <w:r>
        <w:br w:type="page"/>
      </w:r>
    </w:p>
    <w:p>
      <w:pPr>
        <w:pStyle w:val="Heading1"/>
        <w:shd w:fill="2E4070" w:val="clear"/>
        <w:spacing w:after="200" w:before="440"/>
        <w:ind w:left="240" w:right="240"/>
      </w:pPr>
      <w:r>
        <w:rPr>
          <w:rFonts w:ascii="Calibri" w:cs="Calibri" w:eastAsia="Calibri" w:hAnsi="Calibri"/>
          <w:b/>
          <w:bCs/>
          <w:i w:val="false"/>
          <w:iCs w:val="false"/>
          <w:caps w:val="false"/>
          <w:color w:val="FFFFFF"/>
          <w:sz w:val="36"/>
          <w:szCs w:val="36"/>
        </w:rPr>
        <w:t xml:space="preserve">Part 1 — The STAR+ Framework (Personalised for Your Level)</w:t>
      </w:r>
    </w:p>
    <w:p>
      <w:pPr>
        <w:spacing w:after="90" w:before="40"/>
        <w:jc w:val="left"/>
      </w:pPr>
      <w:r>
        <w:rPr>
          <w:rFonts w:ascii="Calibri" w:cs="Calibri" w:eastAsia="Calibri" w:hAnsi="Calibri"/>
          <w:b w:val="false"/>
          <w:bCs w:val="false"/>
          <w:i w:val="false"/>
          <w:iCs w:val="false"/>
          <w:caps w:val="false"/>
          <w:color w:val="3A3A55"/>
          <w:sz w:val="22"/>
          <w:szCs w:val="22"/>
        </w:rPr>
        <w:t xml:space="preserve">You have 21 years of genuine Principal-level stories. The risk is not lack of material — it is over-explaining. ClickUp interviewers are technical; they will follow dense technical context. But they score on clarity of your own decision-making, not completeness of the situation. Apply STAR+ strictly.</w:t>
      </w:r>
    </w:p>
    <w:p>
      <w:pPr>
        <w:spacing w:after="45" w:before="4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700"/>
        <w:gridCol w:w="3860"/>
      </w:tblGrid>
      <w:tr>
        <w:tc>
          <w:tcPr>
            <w:tcW w:type="dxa" w:w="1600"/>
            <w:tcBorders>
              <w:top w:val="single" w:color="CED4E8" w:sz="1"/>
              <w:left w:val="single" w:color="CED4E8" w:sz="1"/>
              <w:bottom w:val="single" w:color="CED4E8" w:sz="1"/>
              <w:right w:val="single" w:color="CED4E8" w:sz="1"/>
            </w:tcBorders>
            <w:shd w:fill="1B2A4A" w:val="clear"/>
            <w:tcMar>
              <w:top w:type="dxa" w:w="80"/>
              <w:left w:type="dxa" w:w="120"/>
              <w:bottom w:type="dxa" w:w="80"/>
              <w:right w:type="dxa" w:w="120"/>
            </w:tcMar>
          </w:tcPr>
          <w:p>
            <w:pPr>
              <w:spacing w:after="80" w:before="0"/>
              <w:jc w:val="left"/>
            </w:pPr>
            <w:r>
              <w:rPr>
                <w:rFonts w:ascii="Calibri" w:cs="Calibri" w:eastAsia="Calibri" w:hAnsi="Calibri"/>
                <w:b/>
                <w:bCs/>
                <w:i w:val="false"/>
                <w:iCs w:val="false"/>
                <w:caps w:val="false"/>
                <w:color w:val="FFFFFF"/>
                <w:sz w:val="19"/>
                <w:szCs w:val="19"/>
              </w:rPr>
              <w:t xml:space="preserve">Element</w:t>
            </w:r>
          </w:p>
        </w:tc>
        <w:tc>
          <w:tcPr>
            <w:tcW w:type="dxa" w:w="3200"/>
            <w:tcBorders>
              <w:top w:val="single" w:color="CED4E8" w:sz="1"/>
              <w:left w:val="single" w:color="CED4E8" w:sz="1"/>
              <w:bottom w:val="single" w:color="CED4E8" w:sz="1"/>
              <w:right w:val="single" w:color="CED4E8" w:sz="1"/>
            </w:tcBorders>
            <w:shd w:fill="1B2A4A" w:val="clear"/>
            <w:tcMar>
              <w:top w:type="dxa" w:w="80"/>
              <w:left w:type="dxa" w:w="120"/>
              <w:bottom w:type="dxa" w:w="80"/>
              <w:right w:type="dxa" w:w="120"/>
            </w:tcMar>
          </w:tcPr>
          <w:p>
            <w:pPr>
              <w:spacing w:after="80" w:before="0"/>
              <w:jc w:val="left"/>
            </w:pPr>
            <w:r>
              <w:rPr>
                <w:rFonts w:ascii="Calibri" w:cs="Calibri" w:eastAsia="Calibri" w:hAnsi="Calibri"/>
                <w:b/>
                <w:bCs/>
                <w:i w:val="false"/>
                <w:iCs w:val="false"/>
                <w:caps w:val="false"/>
                <w:color w:val="FFFFFF"/>
                <w:sz w:val="19"/>
                <w:szCs w:val="19"/>
              </w:rPr>
              <w:t xml:space="preserve">What to say</w:t>
            </w:r>
          </w:p>
        </w:tc>
        <w:tc>
          <w:tcPr>
            <w:tcW w:type="dxa" w:w="700"/>
            <w:tcBorders>
              <w:top w:val="single" w:color="CED4E8" w:sz="1"/>
              <w:left w:val="single" w:color="CED4E8" w:sz="1"/>
              <w:bottom w:val="single" w:color="CED4E8" w:sz="1"/>
              <w:right w:val="single" w:color="CED4E8" w:sz="1"/>
            </w:tcBorders>
            <w:shd w:fill="1B2A4A" w:val="clear"/>
            <w:tcMar>
              <w:top w:type="dxa" w:w="80"/>
              <w:left w:type="dxa" w:w="120"/>
              <w:bottom w:type="dxa" w:w="80"/>
              <w:right w:type="dxa" w:w="120"/>
            </w:tcMar>
          </w:tcPr>
          <w:p>
            <w:pPr>
              <w:spacing w:after="80" w:before="0"/>
              <w:jc w:val="left"/>
            </w:pPr>
            <w:r>
              <w:rPr>
                <w:rFonts w:ascii="Calibri" w:cs="Calibri" w:eastAsia="Calibri" w:hAnsi="Calibri"/>
                <w:b/>
                <w:bCs/>
                <w:i w:val="false"/>
                <w:iCs w:val="false"/>
                <w:caps w:val="false"/>
                <w:color w:val="FFFFFF"/>
                <w:sz w:val="19"/>
                <w:szCs w:val="19"/>
              </w:rPr>
              <w:t xml:space="preserve">Time</w:t>
            </w:r>
          </w:p>
        </w:tc>
        <w:tc>
          <w:tcPr>
            <w:tcW w:type="dxa" w:w="3860"/>
            <w:tcBorders>
              <w:top w:val="single" w:color="CED4E8" w:sz="1"/>
              <w:left w:val="single" w:color="CED4E8" w:sz="1"/>
              <w:bottom w:val="single" w:color="CED4E8" w:sz="1"/>
              <w:right w:val="single" w:color="CED4E8" w:sz="1"/>
            </w:tcBorders>
            <w:shd w:fill="1B2A4A" w:val="clear"/>
            <w:tcMar>
              <w:top w:type="dxa" w:w="80"/>
              <w:left w:type="dxa" w:w="120"/>
              <w:bottom w:type="dxa" w:w="80"/>
              <w:right w:type="dxa" w:w="120"/>
            </w:tcMar>
          </w:tcPr>
          <w:p>
            <w:pPr>
              <w:spacing w:after="80" w:before="0"/>
              <w:jc w:val="left"/>
            </w:pPr>
            <w:r>
              <w:rPr>
                <w:rFonts w:ascii="Calibri" w:cs="Calibri" w:eastAsia="Calibri" w:hAnsi="Calibri"/>
                <w:b/>
                <w:bCs/>
                <w:i w:val="false"/>
                <w:iCs w:val="false"/>
                <w:caps w:val="false"/>
                <w:color w:val="FFFFFF"/>
                <w:sz w:val="19"/>
                <w:szCs w:val="19"/>
              </w:rPr>
              <w:t xml:space="preserve">Your pitfall to avoid</w:t>
            </w:r>
          </w:p>
        </w:tc>
      </w:tr>
      <w:tr>
        <w:tc>
          <w:tcPr>
            <w:tcW w:type="dxa" w:w="1600"/>
            <w:tcBorders>
              <w:top w:val="single" w:color="CED4E8" w:sz="1"/>
              <w:left w:val="single" w:color="CED4E8" w:sz="1"/>
              <w:bottom w:val="single" w:color="CED4E8" w:sz="1"/>
              <w:right w:val="single" w:color="CED4E8" w:sz="1"/>
            </w:tcBorders>
            <w:shd w:fill="F8F9FC" w:val="clear"/>
            <w:tcMar>
              <w:top w:type="dxa" w:w="70"/>
              <w:left w:type="dxa" w:w="120"/>
              <w:bottom w:type="dxa" w:w="70"/>
              <w:right w:type="dxa" w:w="120"/>
            </w:tcMar>
          </w:tcPr>
          <w:p>
            <w:pPr>
              <w:spacing w:after="80" w:before="0"/>
              <w:jc w:val="left"/>
            </w:pPr>
            <w:r>
              <w:rPr>
                <w:rFonts w:ascii="Calibri" w:cs="Calibri" w:eastAsia="Calibri" w:hAnsi="Calibri"/>
                <w:b/>
                <w:bCs/>
                <w:i w:val="false"/>
                <w:iCs w:val="false"/>
                <w:caps w:val="false"/>
                <w:color w:val="1B2A4A"/>
                <w:sz w:val="19"/>
                <w:szCs w:val="19"/>
              </w:rPr>
              <w:t xml:space="preserve">S — Situation</w:t>
            </w:r>
          </w:p>
        </w:tc>
        <w:tc>
          <w:tcPr>
            <w:tcW w:type="dxa" w:w="3200"/>
            <w:tcBorders>
              <w:top w:val="single" w:color="CED4E8" w:sz="1"/>
              <w:left w:val="single" w:color="CED4E8" w:sz="1"/>
              <w:bottom w:val="single" w:color="CED4E8" w:sz="1"/>
              <w:right w:val="single" w:color="CED4E8" w:sz="1"/>
            </w:tcBorders>
            <w:shd w:fill="F8F9FC" w:val="clear"/>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caps w:val="false"/>
                <w:color w:val="3A3A55"/>
                <w:sz w:val="19"/>
                <w:szCs w:val="19"/>
              </w:rPr>
              <w:t xml:space="preserve">Set scale briefly: company, team size, system complexity, business stakes. 2 sentences.</w:t>
            </w:r>
          </w:p>
        </w:tc>
        <w:tc>
          <w:tcPr>
            <w:tcW w:type="dxa" w:w="700"/>
            <w:tcBorders>
              <w:top w:val="single" w:color="CED4E8" w:sz="1"/>
              <w:left w:val="single" w:color="CED4E8" w:sz="1"/>
              <w:bottom w:val="single" w:color="CED4E8" w:sz="1"/>
              <w:right w:val="single" w:color="CED4E8" w:sz="1"/>
            </w:tcBorders>
            <w:shd w:fill="F8F9FC" w:val="clear"/>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caps w:val="false"/>
                <w:color w:val="3A3A55"/>
                <w:sz w:val="19"/>
                <w:szCs w:val="19"/>
              </w:rPr>
              <w:t xml:space="preserve">10%</w:t>
            </w:r>
          </w:p>
        </w:tc>
        <w:tc>
          <w:tcPr>
            <w:tcW w:type="dxa" w:w="3860"/>
            <w:tcBorders>
              <w:top w:val="single" w:color="CED4E8" w:sz="1"/>
              <w:left w:val="single" w:color="CED4E8" w:sz="1"/>
              <w:bottom w:val="single" w:color="CED4E8" w:sz="1"/>
              <w:right w:val="single" w:color="CED4E8" w:sz="1"/>
            </w:tcBorders>
            <w:shd w:fill="F8F9FC" w:val="clear"/>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caps w:val="false"/>
                <w:color w:val="3A3A55"/>
                <w:sz w:val="19"/>
                <w:szCs w:val="19"/>
              </w:rPr>
              <w:t xml:space="preserve">Over-explaining Wells Fargo's trading architecture before getting to YOUR decision — interviewers lose the thread</w:t>
            </w:r>
          </w:p>
        </w:tc>
      </w:tr>
      <w:tr>
        <w:tc>
          <w:tcPr>
            <w:tcW w:type="dxa" w:w="1600"/>
            <w:tcBorders>
              <w:top w:val="single" w:color="CED4E8" w:sz="1"/>
              <w:left w:val="single" w:color="CED4E8" w:sz="1"/>
              <w:bottom w:val="single" w:color="CED4E8" w:sz="1"/>
              <w:right w:val="single" w:color="CED4E8" w:sz="1"/>
            </w:tcBorders>
            <w:shd w:fill="FFFFFF" w:val="clear"/>
            <w:tcMar>
              <w:top w:type="dxa" w:w="70"/>
              <w:left w:type="dxa" w:w="120"/>
              <w:bottom w:type="dxa" w:w="70"/>
              <w:right w:type="dxa" w:w="120"/>
            </w:tcMar>
          </w:tcPr>
          <w:p>
            <w:pPr>
              <w:spacing w:after="80" w:before="0"/>
              <w:jc w:val="left"/>
            </w:pPr>
            <w:r>
              <w:rPr>
                <w:rFonts w:ascii="Calibri" w:cs="Calibri" w:eastAsia="Calibri" w:hAnsi="Calibri"/>
                <w:b/>
                <w:bCs/>
                <w:i w:val="false"/>
                <w:iCs w:val="false"/>
                <w:caps w:val="false"/>
                <w:color w:val="1B2A4A"/>
                <w:sz w:val="19"/>
                <w:szCs w:val="19"/>
              </w:rPr>
              <w:t xml:space="preserve">T — Task</w:t>
            </w:r>
          </w:p>
        </w:tc>
        <w:tc>
          <w:tcPr>
            <w:tcW w:type="dxa" w:w="3200"/>
            <w:tcBorders>
              <w:top w:val="single" w:color="CED4E8" w:sz="1"/>
              <w:left w:val="single" w:color="CED4E8" w:sz="1"/>
              <w:bottom w:val="single" w:color="CED4E8" w:sz="1"/>
              <w:right w:val="single" w:color="CED4E8" w:sz="1"/>
            </w:tcBorders>
            <w:shd w:fill="FFFFFF" w:val="clear"/>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caps w:val="false"/>
                <w:color w:val="3A3A55"/>
                <w:sz w:val="19"/>
                <w:szCs w:val="19"/>
              </w:rPr>
              <w:t xml:space="preserve">Your specific ownership. Not the team's goal — YOUR responsibility.</w:t>
            </w:r>
          </w:p>
        </w:tc>
        <w:tc>
          <w:tcPr>
            <w:tcW w:type="dxa" w:w="700"/>
            <w:tcBorders>
              <w:top w:val="single" w:color="CED4E8" w:sz="1"/>
              <w:left w:val="single" w:color="CED4E8" w:sz="1"/>
              <w:bottom w:val="single" w:color="CED4E8" w:sz="1"/>
              <w:right w:val="single" w:color="CED4E8" w:sz="1"/>
            </w:tcBorders>
            <w:shd w:fill="FFFFFF" w:val="clear"/>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caps w:val="false"/>
                <w:color w:val="3A3A55"/>
                <w:sz w:val="19"/>
                <w:szCs w:val="19"/>
              </w:rPr>
              <w:t xml:space="preserve">10%</w:t>
            </w:r>
          </w:p>
        </w:tc>
        <w:tc>
          <w:tcPr>
            <w:tcW w:type="dxa" w:w="3860"/>
            <w:tcBorders>
              <w:top w:val="single" w:color="CED4E8" w:sz="1"/>
              <w:left w:val="single" w:color="CED4E8" w:sz="1"/>
              <w:bottom w:val="single" w:color="CED4E8" w:sz="1"/>
              <w:right w:val="single" w:color="CED4E8" w:sz="1"/>
            </w:tcBorders>
            <w:shd w:fill="FFFFFF" w:val="clear"/>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caps w:val="false"/>
                <w:color w:val="3A3A55"/>
                <w:sz w:val="19"/>
                <w:szCs w:val="19"/>
              </w:rPr>
              <w:t xml:space="preserve">Saying 'we were tasked with' — own it: 'I was responsible for'</w:t>
            </w:r>
          </w:p>
        </w:tc>
      </w:tr>
      <w:tr>
        <w:tc>
          <w:tcPr>
            <w:tcW w:type="dxa" w:w="1600"/>
            <w:tcBorders>
              <w:top w:val="single" w:color="CED4E8" w:sz="1"/>
              <w:left w:val="single" w:color="CED4E8" w:sz="1"/>
              <w:bottom w:val="single" w:color="CED4E8" w:sz="1"/>
              <w:right w:val="single" w:color="CED4E8" w:sz="1"/>
            </w:tcBorders>
            <w:shd w:fill="F8F9FC" w:val="clear"/>
            <w:tcMar>
              <w:top w:type="dxa" w:w="70"/>
              <w:left w:type="dxa" w:w="120"/>
              <w:bottom w:type="dxa" w:w="70"/>
              <w:right w:type="dxa" w:w="120"/>
            </w:tcMar>
          </w:tcPr>
          <w:p>
            <w:pPr>
              <w:spacing w:after="80" w:before="0"/>
              <w:jc w:val="left"/>
            </w:pPr>
            <w:r>
              <w:rPr>
                <w:rFonts w:ascii="Calibri" w:cs="Calibri" w:eastAsia="Calibri" w:hAnsi="Calibri"/>
                <w:b/>
                <w:bCs/>
                <w:i w:val="false"/>
                <w:iCs w:val="false"/>
                <w:caps w:val="false"/>
                <w:color w:val="1B2A4A"/>
                <w:sz w:val="19"/>
                <w:szCs w:val="19"/>
              </w:rPr>
              <w:t xml:space="preserve">A — Actions</w:t>
            </w:r>
          </w:p>
        </w:tc>
        <w:tc>
          <w:tcPr>
            <w:tcW w:type="dxa" w:w="3200"/>
            <w:tcBorders>
              <w:top w:val="single" w:color="CED4E8" w:sz="1"/>
              <w:left w:val="single" w:color="CED4E8" w:sz="1"/>
              <w:bottom w:val="single" w:color="CED4E8" w:sz="1"/>
              <w:right w:val="single" w:color="CED4E8" w:sz="1"/>
            </w:tcBorders>
            <w:shd w:fill="F8F9FC" w:val="clear"/>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caps w:val="false"/>
                <w:color w:val="3A3A55"/>
                <w:sz w:val="19"/>
                <w:szCs w:val="19"/>
              </w:rPr>
              <w:t xml:space="preserve">3–5 specific decisions YOU made. Each action should reveal judgment, not just effort.</w:t>
            </w:r>
          </w:p>
        </w:tc>
        <w:tc>
          <w:tcPr>
            <w:tcW w:type="dxa" w:w="700"/>
            <w:tcBorders>
              <w:top w:val="single" w:color="CED4E8" w:sz="1"/>
              <w:left w:val="single" w:color="CED4E8" w:sz="1"/>
              <w:bottom w:val="single" w:color="CED4E8" w:sz="1"/>
              <w:right w:val="single" w:color="CED4E8" w:sz="1"/>
            </w:tcBorders>
            <w:shd w:fill="F8F9FC" w:val="clear"/>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caps w:val="false"/>
                <w:color w:val="3A3A55"/>
                <w:sz w:val="19"/>
                <w:szCs w:val="19"/>
              </w:rPr>
              <w:t xml:space="preserve">50%</w:t>
            </w:r>
          </w:p>
        </w:tc>
        <w:tc>
          <w:tcPr>
            <w:tcW w:type="dxa" w:w="3860"/>
            <w:tcBorders>
              <w:top w:val="single" w:color="CED4E8" w:sz="1"/>
              <w:left w:val="single" w:color="CED4E8" w:sz="1"/>
              <w:bottom w:val="single" w:color="CED4E8" w:sz="1"/>
              <w:right w:val="single" w:color="CED4E8" w:sz="1"/>
            </w:tcBorders>
            <w:shd w:fill="F8F9FC" w:val="clear"/>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caps w:val="false"/>
                <w:color w:val="3A3A55"/>
                <w:sz w:val="19"/>
                <w:szCs w:val="19"/>
              </w:rPr>
              <w:t xml:space="preserve">Listing technologies used instead of decisions made. 'I used NgRx' is not an action. 'I chose NgRx Facade to isolate business logic because...' is.</w:t>
            </w:r>
          </w:p>
        </w:tc>
      </w:tr>
      <w:tr>
        <w:tc>
          <w:tcPr>
            <w:tcW w:type="dxa" w:w="1600"/>
            <w:tcBorders>
              <w:top w:val="single" w:color="CED4E8" w:sz="1"/>
              <w:left w:val="single" w:color="CED4E8" w:sz="1"/>
              <w:bottom w:val="single" w:color="CED4E8" w:sz="1"/>
              <w:right w:val="single" w:color="CED4E8" w:sz="1"/>
            </w:tcBorders>
            <w:shd w:fill="FFFFFF" w:val="clear"/>
            <w:tcMar>
              <w:top w:type="dxa" w:w="70"/>
              <w:left w:type="dxa" w:w="120"/>
              <w:bottom w:type="dxa" w:w="70"/>
              <w:right w:type="dxa" w:w="120"/>
            </w:tcMar>
          </w:tcPr>
          <w:p>
            <w:pPr>
              <w:spacing w:after="80" w:before="0"/>
              <w:jc w:val="left"/>
            </w:pPr>
            <w:r>
              <w:rPr>
                <w:rFonts w:ascii="Calibri" w:cs="Calibri" w:eastAsia="Calibri" w:hAnsi="Calibri"/>
                <w:b/>
                <w:bCs/>
                <w:i w:val="false"/>
                <w:iCs w:val="false"/>
                <w:caps w:val="false"/>
                <w:color w:val="1B2A4A"/>
                <w:sz w:val="19"/>
                <w:szCs w:val="19"/>
              </w:rPr>
              <w:t xml:space="preserve">R — Result</w:t>
            </w:r>
          </w:p>
        </w:tc>
        <w:tc>
          <w:tcPr>
            <w:tcW w:type="dxa" w:w="3200"/>
            <w:tcBorders>
              <w:top w:val="single" w:color="CED4E8" w:sz="1"/>
              <w:left w:val="single" w:color="CED4E8" w:sz="1"/>
              <w:bottom w:val="single" w:color="CED4E8" w:sz="1"/>
              <w:right w:val="single" w:color="CED4E8" w:sz="1"/>
            </w:tcBorders>
            <w:shd w:fill="FFFFFF" w:val="clear"/>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caps w:val="false"/>
                <w:color w:val="3A3A55"/>
                <w:sz w:val="19"/>
                <w:szCs w:val="19"/>
              </w:rPr>
              <w:t xml:space="preserve">Quantified: 'Angular v11→v21 across Hydra suite', '20% WebSocket latency reduction', 'CI/CD cut release cycle time'. You have real numbers — use all of them.</w:t>
            </w:r>
          </w:p>
        </w:tc>
        <w:tc>
          <w:tcPr>
            <w:tcW w:type="dxa" w:w="700"/>
            <w:tcBorders>
              <w:top w:val="single" w:color="CED4E8" w:sz="1"/>
              <w:left w:val="single" w:color="CED4E8" w:sz="1"/>
              <w:bottom w:val="single" w:color="CED4E8" w:sz="1"/>
              <w:right w:val="single" w:color="CED4E8" w:sz="1"/>
            </w:tcBorders>
            <w:shd w:fill="FFFFFF" w:val="clear"/>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caps w:val="false"/>
                <w:color w:val="3A3A55"/>
                <w:sz w:val="19"/>
                <w:szCs w:val="19"/>
              </w:rPr>
              <w:t xml:space="preserve">20%</w:t>
            </w:r>
          </w:p>
        </w:tc>
        <w:tc>
          <w:tcPr>
            <w:tcW w:type="dxa" w:w="3860"/>
            <w:tcBorders>
              <w:top w:val="single" w:color="CED4E8" w:sz="1"/>
              <w:left w:val="single" w:color="CED4E8" w:sz="1"/>
              <w:bottom w:val="single" w:color="CED4E8" w:sz="1"/>
              <w:right w:val="single" w:color="CED4E8" w:sz="1"/>
            </w:tcBorders>
            <w:shd w:fill="FFFFFF" w:val="clear"/>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caps w:val="false"/>
                <w:color w:val="3A3A55"/>
                <w:sz w:val="19"/>
                <w:szCs w:val="19"/>
              </w:rPr>
              <w:t xml:space="preserve">Saying 'the project was successful' — you have metrics, always use them</w:t>
            </w:r>
          </w:p>
        </w:tc>
      </w:tr>
      <w:tr>
        <w:tc>
          <w:tcPr>
            <w:tcW w:type="dxa" w:w="1600"/>
            <w:tcBorders>
              <w:top w:val="single" w:color="CED4E8" w:sz="1"/>
              <w:left w:val="single" w:color="CED4E8" w:sz="1"/>
              <w:bottom w:val="single" w:color="CED4E8" w:sz="1"/>
              <w:right w:val="single" w:color="CED4E8" w:sz="1"/>
            </w:tcBorders>
            <w:shd w:fill="F8F9FC" w:val="clear"/>
            <w:tcMar>
              <w:top w:type="dxa" w:w="70"/>
              <w:left w:type="dxa" w:w="120"/>
              <w:bottom w:type="dxa" w:w="70"/>
              <w:right w:type="dxa" w:w="120"/>
            </w:tcMar>
          </w:tcPr>
          <w:p>
            <w:pPr>
              <w:spacing w:after="80" w:before="0"/>
              <w:jc w:val="left"/>
            </w:pPr>
            <w:r>
              <w:rPr>
                <w:rFonts w:ascii="Calibri" w:cs="Calibri" w:eastAsia="Calibri" w:hAnsi="Calibri"/>
                <w:b/>
                <w:bCs/>
                <w:i w:val="false"/>
                <w:iCs w:val="false"/>
                <w:caps w:val="false"/>
                <w:color w:val="1B2A4A"/>
                <w:sz w:val="19"/>
                <w:szCs w:val="19"/>
              </w:rPr>
              <w:t xml:space="preserve">↺ — Reflect</w:t>
            </w:r>
          </w:p>
        </w:tc>
        <w:tc>
          <w:tcPr>
            <w:tcW w:type="dxa" w:w="3200"/>
            <w:tcBorders>
              <w:top w:val="single" w:color="CED4E8" w:sz="1"/>
              <w:left w:val="single" w:color="CED4E8" w:sz="1"/>
              <w:bottom w:val="single" w:color="CED4E8" w:sz="1"/>
              <w:right w:val="single" w:color="CED4E8" w:sz="1"/>
            </w:tcBorders>
            <w:shd w:fill="F8F9FC" w:val="clear"/>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caps w:val="false"/>
                <w:color w:val="3A3A55"/>
                <w:sz w:val="19"/>
                <w:szCs w:val="19"/>
              </w:rPr>
              <w:t xml:space="preserve">What you would do differently. What permanently changed in your practice.</w:t>
            </w:r>
          </w:p>
        </w:tc>
        <w:tc>
          <w:tcPr>
            <w:tcW w:type="dxa" w:w="700"/>
            <w:tcBorders>
              <w:top w:val="single" w:color="CED4E8" w:sz="1"/>
              <w:left w:val="single" w:color="CED4E8" w:sz="1"/>
              <w:bottom w:val="single" w:color="CED4E8" w:sz="1"/>
              <w:right w:val="single" w:color="CED4E8" w:sz="1"/>
            </w:tcBorders>
            <w:shd w:fill="F8F9FC" w:val="clear"/>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caps w:val="false"/>
                <w:color w:val="3A3A55"/>
                <w:sz w:val="19"/>
                <w:szCs w:val="19"/>
              </w:rPr>
              <w:t xml:space="preserve">10%</w:t>
            </w:r>
          </w:p>
        </w:tc>
        <w:tc>
          <w:tcPr>
            <w:tcW w:type="dxa" w:w="3860"/>
            <w:tcBorders>
              <w:top w:val="single" w:color="CED4E8" w:sz="1"/>
              <w:left w:val="single" w:color="CED4E8" w:sz="1"/>
              <w:bottom w:val="single" w:color="CED4E8" w:sz="1"/>
              <w:right w:val="single" w:color="CED4E8" w:sz="1"/>
            </w:tcBorders>
            <w:shd w:fill="F8F9FC" w:val="clear"/>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caps w:val="false"/>
                <w:color w:val="3A3A55"/>
                <w:sz w:val="19"/>
                <w:szCs w:val="19"/>
              </w:rPr>
              <w:t xml:space="preserve">Skipping this — it is the single biggest differentiator at Principal vs. Senior level</w:t>
            </w:r>
          </w:p>
        </w:tc>
      </w:tr>
    </w:tbl>
    <w:p>
      <w:r>
        <w:br w:type="page"/>
      </w:r>
    </w:p>
    <w:p>
      <w:pPr>
        <w:pStyle w:val="Heading1"/>
        <w:shd w:fill="5C3D99" w:val="clear"/>
        <w:spacing w:after="200" w:before="440"/>
        <w:ind w:left="240" w:right="240"/>
      </w:pPr>
      <w:r>
        <w:rPr>
          <w:rFonts w:ascii="Calibri" w:cs="Calibri" w:eastAsia="Calibri" w:hAnsi="Calibri"/>
          <w:b/>
          <w:bCs/>
          <w:i w:val="false"/>
          <w:iCs w:val="false"/>
          <w:caps w:val="false"/>
          <w:color w:val="FFFFFF"/>
          <w:sz w:val="36"/>
          <w:szCs w:val="36"/>
        </w:rPr>
        <w:t xml:space="preserve">Part 2 — Your 10 Personalised Stories</w:t>
      </w:r>
    </w:p>
    <w:p>
      <w:pPr>
        <w:spacing w:after="90" w:before="40"/>
        <w:jc w:val="left"/>
      </w:pPr>
      <w:r>
        <w:rPr>
          <w:rFonts w:ascii="Calibri" w:cs="Calibri" w:eastAsia="Calibri" w:hAnsi="Calibri"/>
          <w:b w:val="false"/>
          <w:bCs w:val="false"/>
          <w:i w:val="false"/>
          <w:iCs w:val="false"/>
          <w:caps w:val="false"/>
          <w:color w:val="3A3A55"/>
          <w:sz w:val="22"/>
          <w:szCs w:val="22"/>
        </w:rPr>
        <w:t xml:space="preserve">Each story is drawn directly from your resume and structured in STAR+ format. Read each one, verify the details match your memory, then personalise with specifics only you know (team names, exact metrics, the conversation that happened). The story skeletons are yours — add the muscle.</w:t>
      </w:r>
    </w:p>
    <w:p>
      <w:r>
        <w:br w:type="page"/>
      </w:r>
    </w:p>
    <w:p>
      <w:pPr>
        <w:pStyle w:val="Heading2"/>
        <w:shd w:fill="5C3D99" w:val="clear"/>
        <w:spacing w:after="150" w:before="320"/>
        <w:ind w:left="200"/>
      </w:pPr>
      <w:r>
        <w:rPr>
          <w:rFonts w:ascii="Calibri" w:cs="Calibri" w:eastAsia="Calibri" w:hAnsi="Calibri"/>
          <w:b/>
          <w:bCs/>
          <w:i w:val="false"/>
          <w:iCs w:val="false"/>
          <w:caps w:val="false"/>
          <w:color w:val="FFFFFF"/>
          <w:sz w:val="28"/>
          <w:szCs w:val="28"/>
        </w:rPr>
        <w:t xml:space="preserve">Story 1 — Architectural Decision You Regret (Angular Migration)</w:t>
      </w:r>
    </w:p>
    <w:p>
      <w:pPr>
        <w:spacing w:after="90" w:before="40"/>
        <w:jc w:val="left"/>
      </w:pPr>
      <w:r>
        <w:rPr>
          <w:rFonts w:ascii="Calibri" w:cs="Calibri" w:eastAsia="Calibri" w:hAnsi="Calibri"/>
          <w:b w:val="false"/>
          <w:bCs w:val="false"/>
          <w:i w:val="false"/>
          <w:iCs w:val="false"/>
          <w:caps w:val="false"/>
          <w:color w:val="3A3A55"/>
          <w:sz w:val="22"/>
          <w:szCs w:val="22"/>
        </w:rPr>
        <w:t xml:space="preserve">Primary use: 'Tell me about an architectural decision you regret.' Secondary use: 'Describe a time you changed course mid-implementation.' This is your most powerful story at ClickUp because it directly maps to their Angular 20+ migration journey.</w:t>
      </w:r>
    </w:p>
    <w:p>
      <w:pPr>
        <w:spacing w:after="45" w:before="4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C4FCC" w:sz="20"/>
              <w:bottom w:val="none" w:color="FFFFFF" w:sz="0"/>
              <w:right w:val="none" w:color="FFFFFF" w:sz="0"/>
            </w:tcBorders>
            <w:shd w:fill="F0EAFF" w:val="clear"/>
            <w:tcMar>
              <w:top w:type="dxa" w:w="120"/>
              <w:left w:type="dxa" w:w="240"/>
              <w:bottom w:type="dxa" w:w="120"/>
              <w:right w:type="dxa" w:w="200"/>
            </w:tcMar>
          </w:tcPr>
          <w:p>
            <w:pPr>
              <w:spacing w:after="70" w:before="0"/>
              <w:jc w:val="left"/>
            </w:pPr>
            <w:r>
              <w:rPr>
                <w:rFonts w:ascii="Calibri" w:cs="Calibri" w:eastAsia="Calibri" w:hAnsi="Calibri"/>
                <w:b/>
                <w:bCs/>
                <w:i w:val="false"/>
                <w:iCs w:val="false"/>
                <w:caps w:val="false"/>
                <w:color w:val="6C4FCC"/>
                <w:sz w:val="19"/>
                <w:szCs w:val="19"/>
              </w:rPr>
              <w:t xml:space="preserve">Why this works for ClickUp</w:t>
            </w:r>
          </w:p>
          <w:p>
            <w:pPr>
              <w:spacing w:after="90" w:before="40"/>
              <w:jc w:val="left"/>
            </w:pPr>
            <w:r>
              <w:rPr>
                <w:rFonts w:ascii="Calibri" w:cs="Calibri" w:eastAsia="Calibri" w:hAnsi="Calibri"/>
                <w:b w:val="false"/>
                <w:bCs w:val="false"/>
                <w:i w:val="false"/>
                <w:iCs w:val="false"/>
                <w:caps w:val="false"/>
                <w:color w:val="3A3A55"/>
                <w:sz w:val="22"/>
                <w:szCs w:val="22"/>
              </w:rPr>
              <w:t xml:space="preserve">ClickUp is actively migrating from older Angular to Angular 20+ with signals. You have led exactly this migration (v11→v21) at Wells Fargo at enterprise scale. A story about a regret in that migration — and what you learned — proves you have been inside the problem they are currently solving.</w:t>
            </w:r>
          </w:p>
        </w:tc>
      </w:tr>
    </w:tbl>
    <w:p>
      <w:pPr>
        <w:spacing w:after="45" w:before="4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ED4E8" w:sz="1"/>
              <w:left w:val="single" w:color="CED4E8" w:sz="1"/>
              <w:bottom w:val="single" w:color="CED4E8" w:sz="1"/>
              <w:right w:val="single" w:color="CED4E8" w:sz="1"/>
            </w:tcBorders>
            <w:shd w:fill="F0EAFF" w:val="clear"/>
            <w:tcMar>
              <w:top w:type="dxa" w:w="80"/>
              <w:left w:type="dxa" w:w="120"/>
              <w:bottom w:type="dxa" w:w="80"/>
              <w:right w:type="dxa" w:w="120"/>
            </w:tcMar>
            <w:vAlign w:val="top"/>
          </w:tcPr>
          <w:p>
            <w:pPr>
              <w:spacing w:after="80" w:before="0"/>
              <w:jc w:val="left"/>
            </w:pPr>
            <w:r>
              <w:rPr>
                <w:rFonts w:ascii="Calibri" w:cs="Calibri" w:eastAsia="Calibri" w:hAnsi="Calibri"/>
                <w:b/>
                <w:bCs/>
                <w:i w:val="false"/>
                <w:iCs w:val="false"/>
                <w:caps w:val="false"/>
                <w:color w:val="6C4FCC"/>
                <w:sz w:val="19"/>
                <w:szCs w:val="19"/>
              </w:rPr>
              <w:t xml:space="preserve">S — Situation</w:t>
            </w:r>
          </w:p>
        </w:tc>
        <w:tc>
          <w:tcPr>
            <w:tcW w:type="dxa" w:w="7760"/>
            <w:tcBorders>
              <w:top w:val="single" w:color="CED4E8" w:sz="1"/>
              <w:left w:val="single" w:color="CED4E8" w:sz="1"/>
              <w:bottom w:val="single" w:color="CED4E8" w:sz="1"/>
              <w:right w:val="single" w:color="CED4E8" w:sz="1"/>
            </w:tcBorders>
            <w:shd w:fill="F8F9FC" w:val="clear"/>
            <w:tcMar>
              <w:top w:type="dxa" w:w="80"/>
              <w:left w:type="dxa" w:w="160"/>
              <w:bottom w:type="dxa" w:w="80"/>
              <w:right w:type="dxa" w:w="120"/>
            </w:tcMar>
          </w:tcPr>
          <w:p>
            <w:pPr>
              <w:spacing w:after="80" w:before="0"/>
              <w:jc w:val="left"/>
            </w:pPr>
            <w:r>
              <w:rPr>
                <w:rFonts w:ascii="Calibri" w:cs="Calibri" w:eastAsia="Calibri" w:hAnsi="Calibri"/>
                <w:b w:val="false"/>
                <w:bCs w:val="false"/>
                <w:i w:val="false"/>
                <w:iCs w:val="false"/>
                <w:caps w:val="false"/>
                <w:color w:val="3A3A55"/>
                <w:sz w:val="21"/>
                <w:szCs w:val="21"/>
              </w:rPr>
              <w:t xml:space="preserve">At Wells Fargo I led the Angular upgrade initiative across the Hydra application suite — 7+ fixed income trading platforms that needed to move from v11 to v21. Each application had different teams, different dependency trees, and live trading workflows that could not go down.</w:t>
            </w:r>
          </w:p>
        </w:tc>
      </w:tr>
      <w:tr>
        <w:tc>
          <w:tcPr>
            <w:tcW w:type="dxa" w:w="1600"/>
            <w:tcBorders>
              <w:top w:val="single" w:color="CED4E8" w:sz="1"/>
              <w:left w:val="single" w:color="CED4E8" w:sz="1"/>
              <w:bottom w:val="single" w:color="CED4E8" w:sz="1"/>
              <w:right w:val="single" w:color="CED4E8" w:sz="1"/>
            </w:tcBorders>
            <w:shd w:fill="E4F7F7" w:val="clear"/>
            <w:tcMar>
              <w:top w:type="dxa" w:w="80"/>
              <w:left w:type="dxa" w:w="120"/>
              <w:bottom w:type="dxa" w:w="80"/>
              <w:right w:type="dxa" w:w="120"/>
            </w:tcMar>
            <w:vAlign w:val="top"/>
          </w:tcPr>
          <w:p>
            <w:pPr>
              <w:spacing w:after="80" w:before="0"/>
              <w:jc w:val="left"/>
            </w:pPr>
            <w:r>
              <w:rPr>
                <w:rFonts w:ascii="Calibri" w:cs="Calibri" w:eastAsia="Calibri" w:hAnsi="Calibri"/>
                <w:b/>
                <w:bCs/>
                <w:i w:val="false"/>
                <w:iCs w:val="false"/>
                <w:caps w:val="false"/>
                <w:color w:val="0D8A8A"/>
                <w:sz w:val="19"/>
                <w:szCs w:val="19"/>
              </w:rPr>
              <w:t xml:space="preserve">T — Task</w:t>
            </w:r>
          </w:p>
        </w:tc>
        <w:tc>
          <w:tcPr>
            <w:tcW w:type="dxa" w:w="7760"/>
            <w:tcBorders>
              <w:top w:val="single" w:color="CED4E8" w:sz="1"/>
              <w:left w:val="single" w:color="CED4E8" w:sz="1"/>
              <w:bottom w:val="single" w:color="CED4E8" w:sz="1"/>
              <w:right w:val="single" w:color="CED4E8" w:sz="1"/>
            </w:tcBorders>
            <w:shd w:fill="F8F9FC" w:val="clear"/>
            <w:tcMar>
              <w:top w:type="dxa" w:w="80"/>
              <w:left w:type="dxa" w:w="160"/>
              <w:bottom w:type="dxa" w:w="80"/>
              <w:right w:type="dxa" w:w="120"/>
            </w:tcMar>
          </w:tcPr>
          <w:p>
            <w:pPr>
              <w:spacing w:after="80" w:before="0"/>
              <w:jc w:val="left"/>
            </w:pPr>
            <w:r>
              <w:rPr>
                <w:rFonts w:ascii="Calibri" w:cs="Calibri" w:eastAsia="Calibri" w:hAnsi="Calibri"/>
                <w:b w:val="false"/>
                <w:bCs w:val="false"/>
                <w:i w:val="false"/>
                <w:iCs w:val="false"/>
                <w:caps w:val="false"/>
                <w:color w:val="3A3A55"/>
                <w:sz w:val="21"/>
                <w:szCs w:val="21"/>
              </w:rPr>
              <w:t xml:space="preserve">I owned the end-to-end migration architecture: deciding the sequence of upgrades, handling breaking API changes, retiring deprecated patterns, and ensuring trading operations were not disrupted. I had to make a key architectural call early: upgrade all applications in parallel vs. one at a time.</w:t>
            </w:r>
          </w:p>
        </w:tc>
      </w:tr>
      <w:tr>
        <w:tc>
          <w:tcPr>
            <w:tcW w:type="dxa" w:w="1600"/>
            <w:tcBorders>
              <w:top w:val="single" w:color="CED4E8" w:sz="1"/>
              <w:left w:val="single" w:color="CED4E8" w:sz="1"/>
              <w:bottom w:val="single" w:color="CED4E8" w:sz="1"/>
              <w:right w:val="single" w:color="CED4E8" w:sz="1"/>
            </w:tcBorders>
            <w:shd w:fill="FEF5E4" w:val="clear"/>
            <w:tcMar>
              <w:top w:type="dxa" w:w="80"/>
              <w:left w:type="dxa" w:w="120"/>
              <w:bottom w:type="dxa" w:w="80"/>
              <w:right w:type="dxa" w:w="120"/>
            </w:tcMar>
            <w:vAlign w:val="top"/>
          </w:tcPr>
          <w:p>
            <w:pPr>
              <w:spacing w:after="80" w:before="0"/>
              <w:jc w:val="left"/>
            </w:pPr>
            <w:r>
              <w:rPr>
                <w:rFonts w:ascii="Calibri" w:cs="Calibri" w:eastAsia="Calibri" w:hAnsi="Calibri"/>
                <w:b/>
                <w:bCs/>
                <w:i w:val="false"/>
                <w:iCs w:val="false"/>
                <w:caps w:val="false"/>
                <w:color w:val="C07A1A"/>
                <w:sz w:val="19"/>
                <w:szCs w:val="19"/>
              </w:rPr>
              <w:t xml:space="preserve">A — Actions</w:t>
            </w:r>
          </w:p>
        </w:tc>
        <w:tc>
          <w:tcPr>
            <w:tcW w:type="dxa" w:w="7760"/>
            <w:tcBorders>
              <w:top w:val="single" w:color="CED4E8" w:sz="1"/>
              <w:left w:val="single" w:color="CED4E8" w:sz="1"/>
              <w:bottom w:val="single" w:color="CED4E8" w:sz="1"/>
              <w:right w:val="single" w:color="CED4E8" w:sz="1"/>
            </w:tcBorders>
            <w:shd w:fill="F8F9FC" w:val="clear"/>
            <w:tcMar>
              <w:top w:type="dxa" w:w="80"/>
              <w:left w:type="dxa" w:w="160"/>
              <w:bottom w:type="dxa" w:w="80"/>
              <w:right w:type="dxa" w:w="120"/>
            </w:tcMar>
          </w:tcPr>
          <w:p>
            <w:pPr>
              <w:spacing w:after="80" w:before="0"/>
              <w:jc w:val="left"/>
            </w:pPr>
            <w:r>
              <w:rPr>
                <w:rFonts w:ascii="Calibri" w:cs="Calibri" w:eastAsia="Calibri" w:hAnsi="Calibri"/>
                <w:b w:val="false"/>
                <w:bCs w:val="false"/>
                <w:i w:val="false"/>
                <w:iCs w:val="false"/>
                <w:caps w:val="false"/>
                <w:color w:val="3A3A55"/>
                <w:sz w:val="21"/>
                <w:szCs w:val="21"/>
              </w:rPr>
              <w:t xml:space="preserve">I initially chose a parallel upgrade approach to hit the timeline — I believed the breaking changes were similar enough across apps that teams could work simultaneously with a shared upgrade guide I would produce. I underestimated that two of the platforms had deep dependencies on a deprecated Angular animation API that the others did not use. The parallel approach caused three teams to block on the same unresolved dependency issue at the same time, creating a three-week slowdown and significant frustration. I had to stop parallel work, resolve the animation API dependency centrally, then re-sequence the remaining upgrades in a specific dependency order.</w:t>
            </w:r>
          </w:p>
        </w:tc>
      </w:tr>
      <w:tr>
        <w:tc>
          <w:tcPr>
            <w:tcW w:type="dxa" w:w="1600"/>
            <w:tcBorders>
              <w:top w:val="single" w:color="CED4E8" w:sz="1"/>
              <w:left w:val="single" w:color="CED4E8" w:sz="1"/>
              <w:bottom w:val="single" w:color="CED4E8" w:sz="1"/>
              <w:right w:val="single" w:color="CED4E8" w:sz="1"/>
            </w:tcBorders>
            <w:shd w:fill="E4F7ED" w:val="clear"/>
            <w:tcMar>
              <w:top w:type="dxa" w:w="80"/>
              <w:left w:type="dxa" w:w="120"/>
              <w:bottom w:type="dxa" w:w="80"/>
              <w:right w:type="dxa" w:w="120"/>
            </w:tcMar>
            <w:vAlign w:val="top"/>
          </w:tcPr>
          <w:p>
            <w:pPr>
              <w:spacing w:after="80" w:before="0"/>
              <w:jc w:val="left"/>
            </w:pPr>
            <w:r>
              <w:rPr>
                <w:rFonts w:ascii="Calibri" w:cs="Calibri" w:eastAsia="Calibri" w:hAnsi="Calibri"/>
                <w:b/>
                <w:bCs/>
                <w:i w:val="false"/>
                <w:iCs w:val="false"/>
                <w:caps w:val="false"/>
                <w:color w:val="1A7A42"/>
                <w:sz w:val="19"/>
                <w:szCs w:val="19"/>
              </w:rPr>
              <w:t xml:space="preserve">R — Result</w:t>
            </w:r>
          </w:p>
        </w:tc>
        <w:tc>
          <w:tcPr>
            <w:tcW w:type="dxa" w:w="7760"/>
            <w:tcBorders>
              <w:top w:val="single" w:color="CED4E8" w:sz="1"/>
              <w:left w:val="single" w:color="CED4E8" w:sz="1"/>
              <w:bottom w:val="single" w:color="CED4E8" w:sz="1"/>
              <w:right w:val="single" w:color="CED4E8" w:sz="1"/>
            </w:tcBorders>
            <w:shd w:fill="F8F9FC" w:val="clear"/>
            <w:tcMar>
              <w:top w:type="dxa" w:w="80"/>
              <w:left w:type="dxa" w:w="160"/>
              <w:bottom w:type="dxa" w:w="80"/>
              <w:right w:type="dxa" w:w="120"/>
            </w:tcMar>
          </w:tcPr>
          <w:p>
            <w:pPr>
              <w:spacing w:after="80" w:before="0"/>
              <w:jc w:val="left"/>
            </w:pPr>
            <w:r>
              <w:rPr>
                <w:rFonts w:ascii="Calibri" w:cs="Calibri" w:eastAsia="Calibri" w:hAnsi="Calibri"/>
                <w:b w:val="false"/>
                <w:bCs w:val="false"/>
                <w:i w:val="false"/>
                <w:iCs w:val="false"/>
                <w:caps w:val="false"/>
                <w:color w:val="3A3A55"/>
                <w:sz w:val="21"/>
                <w:szCs w:val="21"/>
              </w:rPr>
              <w:t xml:space="preserve">The migration was completed — all 7+ Hydra applications now run on Angular v21. However, the parallel approach cost approximately 3 weeks of unexpected delay and required unplanned coordination meetings across teams. After resolving the blocker, the remaining upgrades completed on schedule.</w:t>
            </w:r>
          </w:p>
        </w:tc>
      </w:tr>
      <w:tr>
        <w:tc>
          <w:tcPr>
            <w:tcW w:type="dxa" w:w="1600"/>
            <w:tcBorders>
              <w:top w:val="single" w:color="CED4E8" w:sz="1"/>
              <w:left w:val="single" w:color="CED4E8" w:sz="1"/>
              <w:bottom w:val="single" w:color="CED4E8" w:sz="1"/>
              <w:right w:val="single" w:color="CED4E8" w:sz="1"/>
            </w:tcBorders>
            <w:shd w:fill="F0F3F6" w:val="clear"/>
            <w:tcMar>
              <w:top w:type="dxa" w:w="80"/>
              <w:left w:type="dxa" w:w="120"/>
              <w:bottom w:type="dxa" w:w="80"/>
              <w:right w:type="dxa" w:w="120"/>
            </w:tcMar>
            <w:vAlign w:val="top"/>
          </w:tcPr>
          <w:p>
            <w:pPr>
              <w:spacing w:after="80" w:before="0"/>
              <w:jc w:val="left"/>
            </w:pPr>
            <w:r>
              <w:rPr>
                <w:rFonts w:ascii="Calibri" w:cs="Calibri" w:eastAsia="Calibri" w:hAnsi="Calibri"/>
                <w:b/>
                <w:bCs/>
                <w:i w:val="false"/>
                <w:iCs w:val="false"/>
                <w:caps w:val="false"/>
                <w:color w:val="556070"/>
                <w:sz w:val="19"/>
                <w:szCs w:val="19"/>
              </w:rPr>
              <w:t xml:space="preserve">↺ — Reflect</w:t>
            </w:r>
          </w:p>
        </w:tc>
        <w:tc>
          <w:tcPr>
            <w:tcW w:type="dxa" w:w="7760"/>
            <w:tcBorders>
              <w:top w:val="single" w:color="CED4E8" w:sz="1"/>
              <w:left w:val="single" w:color="CED4E8" w:sz="1"/>
              <w:bottom w:val="single" w:color="CED4E8" w:sz="1"/>
              <w:right w:val="single" w:color="CED4E8" w:sz="1"/>
            </w:tcBorders>
            <w:shd w:fill="F8F9FC" w:val="clear"/>
            <w:tcMar>
              <w:top w:type="dxa" w:w="80"/>
              <w:left w:type="dxa" w:w="160"/>
              <w:bottom w:type="dxa" w:w="80"/>
              <w:right w:type="dxa" w:w="120"/>
            </w:tcMar>
          </w:tcPr>
          <w:p>
            <w:pPr>
              <w:spacing w:after="80" w:before="0"/>
              <w:jc w:val="left"/>
            </w:pPr>
            <w:r>
              <w:rPr>
                <w:rFonts w:ascii="Calibri" w:cs="Calibri" w:eastAsia="Calibri" w:hAnsi="Calibri"/>
                <w:b w:val="false"/>
                <w:bCs w:val="false"/>
                <w:i w:val="false"/>
                <w:iCs w:val="false"/>
                <w:caps w:val="false"/>
                <w:color w:val="3A3A55"/>
                <w:sz w:val="21"/>
                <w:szCs w:val="21"/>
              </w:rPr>
              <w:t xml:space="preserve">I would never start a large multi-team migration in parallel without first running a full dependency audit across all applications. I now mandate a 'migration spike week' before any multi-team upgrade begins: every team validates their own breaking changes in isolation, and all cross-team blockers are identified and resolved before the migration clock starts. I documented this as a standard in our internal engineering wiki at Wells Fargo.</w:t>
            </w:r>
          </w:p>
        </w:tc>
      </w:tr>
    </w:tbl>
    <w:p>
      <w:pPr>
        <w:spacing w:after="45" w:before="45"/>
      </w:pPr>
      <w:r>
        <w:t xml:space="preserve"/>
      </w:r>
    </w:p>
    <w:p>
      <w:pPr>
        <w:spacing w:after="60" w:before="180"/>
      </w:pPr>
      <w:r>
        <w:rPr>
          <w:rFonts w:ascii="Calibri" w:cs="Calibri" w:eastAsia="Calibri" w:hAnsi="Calibri"/>
          <w:b/>
          <w:bCs/>
          <w:i w:val="false"/>
          <w:iCs w:val="false"/>
          <w:caps w:val="false"/>
          <w:color w:val="1B2A4A"/>
          <w:sz w:val="22"/>
          <w:szCs w:val="22"/>
        </w:rPr>
        <w:t xml:space="preserve">Questions This Story Answers</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'Tell me about an architectural decision you regret.'</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'Describe a time you had to change course on a technical plan mid-implementation.'</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'How have you managed large-scale Angular migrations?'</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'What would you do differently in a major migration project?'</w:t>
      </w:r>
    </w:p>
    <w:p>
      <w:pPr>
        <w:spacing w:after="45" w:before="4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ED4E8" w:sz="1"/>
              <w:left w:val="single" w:color="CED4E8" w:sz="1"/>
              <w:bottom w:val="single" w:color="CED4E8" w:sz="1"/>
              <w:right w:val="single" w:color="CED4E8" w:sz="1"/>
            </w:tcBorders>
            <w:shd w:fill="FEF0EE" w:val="clear"/>
            <w:tcMar>
              <w:top w:type="dxa" w:w="80"/>
              <w:left w:type="dxa" w:w="140"/>
              <w:bottom w:type="dxa" w:w="80"/>
              <w:right w:type="dxa" w:w="140"/>
            </w:tcMar>
          </w:tcPr>
          <w:p>
            <w:pPr>
              <w:spacing w:after="80" w:before="0"/>
              <w:jc w:val="left"/>
            </w:pPr>
            <w:r>
              <w:rPr>
                <w:rFonts w:ascii="Calibri" w:cs="Calibri" w:eastAsia="Calibri" w:hAnsi="Calibri"/>
                <w:b/>
                <w:bCs/>
                <w:i w:val="false"/>
                <w:iCs w:val="false"/>
                <w:caps w:val="false"/>
                <w:color w:val="B03030"/>
                <w:sz w:val="20"/>
                <w:szCs w:val="20"/>
              </w:rPr>
              <w:t xml:space="preserve">⚠ Weak / Generic Answer</w:t>
            </w:r>
          </w:p>
        </w:tc>
        <w:tc>
          <w:tcPr>
            <w:tcW w:type="dxa" w:w="4680"/>
            <w:tcBorders>
              <w:top w:val="single" w:color="CED4E8" w:sz="1"/>
              <w:left w:val="single" w:color="CED4E8" w:sz="1"/>
              <w:bottom w:val="single" w:color="CED4E8" w:sz="1"/>
              <w:right w:val="single" w:color="CED4E8" w:sz="1"/>
            </w:tcBorders>
            <w:shd w:fill="E4F7ED" w:val="clear"/>
            <w:tcMar>
              <w:top w:type="dxa" w:w="80"/>
              <w:left w:type="dxa" w:w="140"/>
              <w:bottom w:type="dxa" w:w="80"/>
              <w:right w:type="dxa" w:w="140"/>
            </w:tcMar>
          </w:tcPr>
          <w:p>
            <w:pPr>
              <w:spacing w:after="80" w:before="0"/>
              <w:jc w:val="left"/>
            </w:pPr>
            <w:r>
              <w:rPr>
                <w:rFonts w:ascii="Calibri" w:cs="Calibri" w:eastAsia="Calibri" w:hAnsi="Calibri"/>
                <w:b/>
                <w:bCs/>
                <w:i w:val="false"/>
                <w:iCs w:val="false"/>
                <w:caps w:val="false"/>
                <w:color w:val="1A7A42"/>
                <w:sz w:val="20"/>
                <w:szCs w:val="20"/>
              </w:rPr>
              <w:t xml:space="preserve">✅ Strong / Personalised Answer</w:t>
            </w:r>
          </w:p>
        </w:tc>
      </w:tr>
      <w:tr>
        <w:tc>
          <w:tcPr>
            <w:tcW w:type="dxa" w:w="4680"/>
            <w:tcBorders>
              <w:top w:val="single" w:color="CED4E8" w:sz="1"/>
              <w:left w:val="single" w:color="CED4E8" w:sz="1"/>
              <w:bottom w:val="single" w:color="CED4E8" w:sz="1"/>
              <w:right w:val="single" w:color="CED4E8" w:sz="1"/>
            </w:tcBorders>
            <w:shd w:fill="F8F9FC" w:val="clear"/>
            <w:tcMar>
              <w:top w:type="dxa" w:w="70"/>
              <w:left w:type="dxa" w:w="140"/>
              <w:bottom w:type="dxa" w:w="70"/>
              <w:right w:type="dxa" w:w="140"/>
            </w:tcMar>
          </w:tcPr>
          <w:p>
            <w:pPr>
              <w:spacing w:after="80" w:before="0"/>
              <w:jc w:val="left"/>
            </w:pPr>
            <w:r>
              <w:rPr>
                <w:rFonts w:ascii="Calibri" w:cs="Calibri" w:eastAsia="Calibri" w:hAnsi="Calibri"/>
                <w:b w:val="false"/>
                <w:bCs w:val="false"/>
                <w:i w:val="false"/>
                <w:iCs w:val="false"/>
                <w:caps w:val="false"/>
                <w:color w:val="556070"/>
                <w:sz w:val="20"/>
                <w:szCs w:val="20"/>
              </w:rPr>
              <w:t xml:space="preserve">'I once chose the wrong migration order and we had some delays.'</w:t>
            </w:r>
          </w:p>
        </w:tc>
        <w:tc>
          <w:tcPr>
            <w:tcW w:type="dxa" w:w="4680"/>
            <w:tcBorders>
              <w:top w:val="single" w:color="CED4E8" w:sz="1"/>
              <w:left w:val="single" w:color="CED4E8" w:sz="1"/>
              <w:bottom w:val="single" w:color="CED4E8" w:sz="1"/>
              <w:right w:val="single" w:color="CED4E8" w:sz="1"/>
            </w:tcBorders>
            <w:shd w:fill="F8F9FC" w:val="clear"/>
            <w:tcMar>
              <w:top w:type="dxa" w:w="70"/>
              <w:left w:type="dxa" w:w="140"/>
              <w:bottom w:type="dxa" w:w="70"/>
              <w:right w:type="dxa" w:w="140"/>
            </w:tcMar>
          </w:tcPr>
          <w:p>
            <w:pPr>
              <w:spacing w:after="80" w:before="0"/>
              <w:jc w:val="left"/>
            </w:pPr>
            <w:r>
              <w:rPr>
                <w:rFonts w:ascii="Calibri" w:cs="Calibri" w:eastAsia="Calibri" w:hAnsi="Calibri"/>
                <w:b w:val="false"/>
                <w:bCs w:val="false"/>
                <w:i w:val="false"/>
                <w:iCs w:val="false"/>
                <w:caps w:val="false"/>
                <w:color w:val="3A3A55"/>
                <w:sz w:val="20"/>
                <w:szCs w:val="20"/>
              </w:rPr>
              <w:t xml:space="preserve">'I led the Angular v11→v21 migration across 7 trading platforms at Wells Fargo. I chose parallel execution without a full dependency audit first. A deprecated animation API blocked three teams simultaneously for 3 weeks. I centralised the fix, re-sequenced the remaining upgrades, and documented a mandatory spike week protocol that is now our standard for all multi-team migrations.'</w:t>
            </w:r>
          </w:p>
        </w:tc>
      </w:tr>
    </w:tbl>
    <w:p>
      <w:r>
        <w:br w:type="page"/>
      </w:r>
    </w:p>
    <w:p>
      <w:pPr>
        <w:pStyle w:val="Heading2"/>
        <w:shd w:fill="0D5F5F" w:val="clear"/>
        <w:spacing w:after="150" w:before="320"/>
        <w:ind w:left="200"/>
      </w:pPr>
      <w:r>
        <w:rPr>
          <w:rFonts w:ascii="Calibri" w:cs="Calibri" w:eastAsia="Calibri" w:hAnsi="Calibri"/>
          <w:b/>
          <w:bCs/>
          <w:i w:val="false"/>
          <w:iCs w:val="false"/>
          <w:caps w:val="false"/>
          <w:color w:val="FFFFFF"/>
          <w:sz w:val="28"/>
          <w:szCs w:val="28"/>
        </w:rPr>
        <w:t xml:space="preserve">Story 2 — Influencing Technical Direction Without Authority (Module Federation)</w:t>
      </w:r>
    </w:p>
    <w:p>
      <w:pPr>
        <w:spacing w:after="90" w:before="40"/>
        <w:jc w:val="left"/>
      </w:pPr>
      <w:r>
        <w:rPr>
          <w:rFonts w:ascii="Calibri" w:cs="Calibri" w:eastAsia="Calibri" w:hAnsi="Calibri"/>
          <w:b w:val="false"/>
          <w:bCs w:val="false"/>
          <w:i w:val="false"/>
          <w:iCs w:val="false"/>
          <w:caps w:val="false"/>
          <w:color w:val="3A3A55"/>
          <w:sz w:val="22"/>
          <w:szCs w:val="22"/>
        </w:rPr>
        <w:t xml:space="preserve">Primary use: 'Describe a time you influenced a technical decision without formal authority.' ClickUp has many senior engineers with strong opinions. Your Module Federation architecture at Wells Fargo is the perfect vehicle — you had to get multiple independent teams to adopt a shared architecture.</w:t>
      </w:r>
    </w:p>
    <w:p>
      <w:pPr>
        <w:spacing w:after="45" w:before="4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ED4E8" w:sz="1"/>
              <w:left w:val="single" w:color="CED4E8" w:sz="1"/>
              <w:bottom w:val="single" w:color="CED4E8" w:sz="1"/>
              <w:right w:val="single" w:color="CED4E8" w:sz="1"/>
            </w:tcBorders>
            <w:shd w:fill="F0EAFF" w:val="clear"/>
            <w:tcMar>
              <w:top w:type="dxa" w:w="80"/>
              <w:left w:type="dxa" w:w="120"/>
              <w:bottom w:type="dxa" w:w="80"/>
              <w:right w:type="dxa" w:w="120"/>
            </w:tcMar>
            <w:vAlign w:val="top"/>
          </w:tcPr>
          <w:p>
            <w:pPr>
              <w:spacing w:after="80" w:before="0"/>
              <w:jc w:val="left"/>
            </w:pPr>
            <w:r>
              <w:rPr>
                <w:rFonts w:ascii="Calibri" w:cs="Calibri" w:eastAsia="Calibri" w:hAnsi="Calibri"/>
                <w:b/>
                <w:bCs/>
                <w:i w:val="false"/>
                <w:iCs w:val="false"/>
                <w:caps w:val="false"/>
                <w:color w:val="6C4FCC"/>
                <w:sz w:val="19"/>
                <w:szCs w:val="19"/>
              </w:rPr>
              <w:t xml:space="preserve">S — Situation</w:t>
            </w:r>
          </w:p>
        </w:tc>
        <w:tc>
          <w:tcPr>
            <w:tcW w:type="dxa" w:w="7760"/>
            <w:tcBorders>
              <w:top w:val="single" w:color="CED4E8" w:sz="1"/>
              <w:left w:val="single" w:color="CED4E8" w:sz="1"/>
              <w:bottom w:val="single" w:color="CED4E8" w:sz="1"/>
              <w:right w:val="single" w:color="CED4E8" w:sz="1"/>
            </w:tcBorders>
            <w:shd w:fill="F8F9FC" w:val="clear"/>
            <w:tcMar>
              <w:top w:type="dxa" w:w="80"/>
              <w:left w:type="dxa" w:w="160"/>
              <w:bottom w:type="dxa" w:w="80"/>
              <w:right w:type="dxa" w:w="120"/>
            </w:tcMar>
          </w:tcPr>
          <w:p>
            <w:pPr>
              <w:spacing w:after="80" w:before="0"/>
              <w:jc w:val="left"/>
            </w:pPr>
            <w:r>
              <w:rPr>
                <w:rFonts w:ascii="Calibri" w:cs="Calibri" w:eastAsia="Calibri" w:hAnsi="Calibri"/>
                <w:b w:val="false"/>
                <w:bCs w:val="false"/>
                <w:i w:val="false"/>
                <w:iCs w:val="false"/>
                <w:caps w:val="false"/>
                <w:color w:val="3A3A55"/>
                <w:sz w:val="21"/>
                <w:szCs w:val="21"/>
              </w:rPr>
              <w:t xml:space="preserve">At Wells Fargo, we had 7+ fixed income trading platform teams that were all building their deployment and component-sharing models independently. Each team had their own Angular application with duplicated utilities, shared components copy-pasted between codebases, and no independent deployment capability. I identified that a Module Federation architecture using a custom Nx Workspace would solve all of these problems — but I had no direct authority over the individual platform teams.</w:t>
            </w:r>
          </w:p>
        </w:tc>
      </w:tr>
      <w:tr>
        <w:tc>
          <w:tcPr>
            <w:tcW w:type="dxa" w:w="1600"/>
            <w:tcBorders>
              <w:top w:val="single" w:color="CED4E8" w:sz="1"/>
              <w:left w:val="single" w:color="CED4E8" w:sz="1"/>
              <w:bottom w:val="single" w:color="CED4E8" w:sz="1"/>
              <w:right w:val="single" w:color="CED4E8" w:sz="1"/>
            </w:tcBorders>
            <w:shd w:fill="E4F7F7" w:val="clear"/>
            <w:tcMar>
              <w:top w:type="dxa" w:w="80"/>
              <w:left w:type="dxa" w:w="120"/>
              <w:bottom w:type="dxa" w:w="80"/>
              <w:right w:type="dxa" w:w="120"/>
            </w:tcMar>
            <w:vAlign w:val="top"/>
          </w:tcPr>
          <w:p>
            <w:pPr>
              <w:spacing w:after="80" w:before="0"/>
              <w:jc w:val="left"/>
            </w:pPr>
            <w:r>
              <w:rPr>
                <w:rFonts w:ascii="Calibri" w:cs="Calibri" w:eastAsia="Calibri" w:hAnsi="Calibri"/>
                <w:b/>
                <w:bCs/>
                <w:i w:val="false"/>
                <w:iCs w:val="false"/>
                <w:caps w:val="false"/>
                <w:color w:val="0D8A8A"/>
                <w:sz w:val="19"/>
                <w:szCs w:val="19"/>
              </w:rPr>
              <w:t xml:space="preserve">T — Task</w:t>
            </w:r>
          </w:p>
        </w:tc>
        <w:tc>
          <w:tcPr>
            <w:tcW w:type="dxa" w:w="7760"/>
            <w:tcBorders>
              <w:top w:val="single" w:color="CED4E8" w:sz="1"/>
              <w:left w:val="single" w:color="CED4E8" w:sz="1"/>
              <w:bottom w:val="single" w:color="CED4E8" w:sz="1"/>
              <w:right w:val="single" w:color="CED4E8" w:sz="1"/>
            </w:tcBorders>
            <w:shd w:fill="F8F9FC" w:val="clear"/>
            <w:tcMar>
              <w:top w:type="dxa" w:w="80"/>
              <w:left w:type="dxa" w:w="160"/>
              <w:bottom w:type="dxa" w:w="80"/>
              <w:right w:type="dxa" w:w="120"/>
            </w:tcMar>
          </w:tcPr>
          <w:p>
            <w:pPr>
              <w:spacing w:after="80" w:before="0"/>
              <w:jc w:val="left"/>
            </w:pPr>
            <w:r>
              <w:rPr>
                <w:rFonts w:ascii="Calibri" w:cs="Calibri" w:eastAsia="Calibri" w:hAnsi="Calibri"/>
                <w:b w:val="false"/>
                <w:bCs w:val="false"/>
                <w:i w:val="false"/>
                <w:iCs w:val="false"/>
                <w:caps w:val="false"/>
                <w:color w:val="3A3A55"/>
                <w:sz w:val="21"/>
                <w:szCs w:val="21"/>
              </w:rPr>
              <w:t xml:space="preserve">I needed to get 7 independent teams — each with their own tech lead — to adopt a shared Nx Workspace + Module Federation architecture. This required changing how they built, deployed, and shared code. None of this was in any existing mandate.</w:t>
            </w:r>
          </w:p>
        </w:tc>
      </w:tr>
      <w:tr>
        <w:tc>
          <w:tcPr>
            <w:tcW w:type="dxa" w:w="1600"/>
            <w:tcBorders>
              <w:top w:val="single" w:color="CED4E8" w:sz="1"/>
              <w:left w:val="single" w:color="CED4E8" w:sz="1"/>
              <w:bottom w:val="single" w:color="CED4E8" w:sz="1"/>
              <w:right w:val="single" w:color="CED4E8" w:sz="1"/>
            </w:tcBorders>
            <w:shd w:fill="FEF5E4" w:val="clear"/>
            <w:tcMar>
              <w:top w:type="dxa" w:w="80"/>
              <w:left w:type="dxa" w:w="120"/>
              <w:bottom w:type="dxa" w:w="80"/>
              <w:right w:type="dxa" w:w="120"/>
            </w:tcMar>
            <w:vAlign w:val="top"/>
          </w:tcPr>
          <w:p>
            <w:pPr>
              <w:spacing w:after="80" w:before="0"/>
              <w:jc w:val="left"/>
            </w:pPr>
            <w:r>
              <w:rPr>
                <w:rFonts w:ascii="Calibri" w:cs="Calibri" w:eastAsia="Calibri" w:hAnsi="Calibri"/>
                <w:b/>
                <w:bCs/>
                <w:i w:val="false"/>
                <w:iCs w:val="false"/>
                <w:caps w:val="false"/>
                <w:color w:val="C07A1A"/>
                <w:sz w:val="19"/>
                <w:szCs w:val="19"/>
              </w:rPr>
              <w:t xml:space="preserve">A — Actions</w:t>
            </w:r>
          </w:p>
        </w:tc>
        <w:tc>
          <w:tcPr>
            <w:tcW w:type="dxa" w:w="7760"/>
            <w:tcBorders>
              <w:top w:val="single" w:color="CED4E8" w:sz="1"/>
              <w:left w:val="single" w:color="CED4E8" w:sz="1"/>
              <w:bottom w:val="single" w:color="CED4E8" w:sz="1"/>
              <w:right w:val="single" w:color="CED4E8" w:sz="1"/>
            </w:tcBorders>
            <w:shd w:fill="F8F9FC" w:val="clear"/>
            <w:tcMar>
              <w:top w:type="dxa" w:w="80"/>
              <w:left w:type="dxa" w:w="160"/>
              <w:bottom w:type="dxa" w:w="80"/>
              <w:right w:type="dxa" w:w="120"/>
            </w:tcMar>
          </w:tcPr>
          <w:p>
            <w:pPr>
              <w:spacing w:after="80" w:before="0"/>
              <w:jc w:val="left"/>
            </w:pPr>
            <w:r>
              <w:rPr>
                <w:rFonts w:ascii="Calibri" w:cs="Calibri" w:eastAsia="Calibri" w:hAnsi="Calibri"/>
                <w:b w:val="false"/>
                <w:bCs w:val="false"/>
                <w:i w:val="false"/>
                <w:iCs w:val="false"/>
                <w:caps w:val="false"/>
                <w:color w:val="3A3A55"/>
                <w:sz w:val="21"/>
                <w:szCs w:val="21"/>
              </w:rPr>
              <w:t xml:space="preserve">Instead of presenting an architecture in a meeting and asking for buy-in, I built a working prototype first: a shell application hosting two remotes with shared authentication, a shared component library, and independent CI/CD pipelines. I ran a 90-minute demo to all tech leads showing the prototype in action — specifically showing that Team A could deploy their remote without touching any other team's code. I addressed each tech lead's concern individually before the group decision: one team was worried about debugging across remote boundaries (I showed them source maps worked correctly), another was worried about bundle size (I showed the shared dependencies configuration). I presented a side-by-side comparison: current state (copy-paste components, coordinated releases) vs. proposed state (independent deploys, true component sharing).</w:t>
            </w:r>
          </w:p>
        </w:tc>
      </w:tr>
      <w:tr>
        <w:tc>
          <w:tcPr>
            <w:tcW w:type="dxa" w:w="1600"/>
            <w:tcBorders>
              <w:top w:val="single" w:color="CED4E8" w:sz="1"/>
              <w:left w:val="single" w:color="CED4E8" w:sz="1"/>
              <w:bottom w:val="single" w:color="CED4E8" w:sz="1"/>
              <w:right w:val="single" w:color="CED4E8" w:sz="1"/>
            </w:tcBorders>
            <w:shd w:fill="E4F7ED" w:val="clear"/>
            <w:tcMar>
              <w:top w:type="dxa" w:w="80"/>
              <w:left w:type="dxa" w:w="120"/>
              <w:bottom w:type="dxa" w:w="80"/>
              <w:right w:type="dxa" w:w="120"/>
            </w:tcMar>
            <w:vAlign w:val="top"/>
          </w:tcPr>
          <w:p>
            <w:pPr>
              <w:spacing w:after="80" w:before="0"/>
              <w:jc w:val="left"/>
            </w:pPr>
            <w:r>
              <w:rPr>
                <w:rFonts w:ascii="Calibri" w:cs="Calibri" w:eastAsia="Calibri" w:hAnsi="Calibri"/>
                <w:b/>
                <w:bCs/>
                <w:i w:val="false"/>
                <w:iCs w:val="false"/>
                <w:caps w:val="false"/>
                <w:color w:val="1A7A42"/>
                <w:sz w:val="19"/>
                <w:szCs w:val="19"/>
              </w:rPr>
              <w:t xml:space="preserve">R — Result</w:t>
            </w:r>
          </w:p>
        </w:tc>
        <w:tc>
          <w:tcPr>
            <w:tcW w:type="dxa" w:w="7760"/>
            <w:tcBorders>
              <w:top w:val="single" w:color="CED4E8" w:sz="1"/>
              <w:left w:val="single" w:color="CED4E8" w:sz="1"/>
              <w:bottom w:val="single" w:color="CED4E8" w:sz="1"/>
              <w:right w:val="single" w:color="CED4E8" w:sz="1"/>
            </w:tcBorders>
            <w:shd w:fill="F8F9FC" w:val="clear"/>
            <w:tcMar>
              <w:top w:type="dxa" w:w="80"/>
              <w:left w:type="dxa" w:w="160"/>
              <w:bottom w:type="dxa" w:w="80"/>
              <w:right w:type="dxa" w:w="120"/>
            </w:tcMar>
          </w:tcPr>
          <w:p>
            <w:pPr>
              <w:spacing w:after="80" w:before="0"/>
              <w:jc w:val="left"/>
            </w:pPr>
            <w:r>
              <w:rPr>
                <w:rFonts w:ascii="Calibri" w:cs="Calibri" w:eastAsia="Calibri" w:hAnsi="Calibri"/>
                <w:b w:val="false"/>
                <w:bCs w:val="false"/>
                <w:i w:val="false"/>
                <w:iCs w:val="false"/>
                <w:caps w:val="false"/>
                <w:color w:val="3A3A55"/>
                <w:sz w:val="21"/>
                <w:szCs w:val="21"/>
              </w:rPr>
              <w:t xml:space="preserve">All 7 platforms adopted the Nx Workspace + Module Federation architecture. Independent deployments reduced inter-team coordination overhead significantly. The shared component library eliminated the copy-paste pattern across the org. The architecture is now the standard for new platform development at the division.</w:t>
            </w:r>
          </w:p>
        </w:tc>
      </w:tr>
      <w:tr>
        <w:tc>
          <w:tcPr>
            <w:tcW w:type="dxa" w:w="1600"/>
            <w:tcBorders>
              <w:top w:val="single" w:color="CED4E8" w:sz="1"/>
              <w:left w:val="single" w:color="CED4E8" w:sz="1"/>
              <w:bottom w:val="single" w:color="CED4E8" w:sz="1"/>
              <w:right w:val="single" w:color="CED4E8" w:sz="1"/>
            </w:tcBorders>
            <w:shd w:fill="F0F3F6" w:val="clear"/>
            <w:tcMar>
              <w:top w:type="dxa" w:w="80"/>
              <w:left w:type="dxa" w:w="120"/>
              <w:bottom w:type="dxa" w:w="80"/>
              <w:right w:type="dxa" w:w="120"/>
            </w:tcMar>
            <w:vAlign w:val="top"/>
          </w:tcPr>
          <w:p>
            <w:pPr>
              <w:spacing w:after="80" w:before="0"/>
              <w:jc w:val="left"/>
            </w:pPr>
            <w:r>
              <w:rPr>
                <w:rFonts w:ascii="Calibri" w:cs="Calibri" w:eastAsia="Calibri" w:hAnsi="Calibri"/>
                <w:b/>
                <w:bCs/>
                <w:i w:val="false"/>
                <w:iCs w:val="false"/>
                <w:caps w:val="false"/>
                <w:color w:val="556070"/>
                <w:sz w:val="19"/>
                <w:szCs w:val="19"/>
              </w:rPr>
              <w:t xml:space="preserve">↺ — Reflect</w:t>
            </w:r>
          </w:p>
        </w:tc>
        <w:tc>
          <w:tcPr>
            <w:tcW w:type="dxa" w:w="7760"/>
            <w:tcBorders>
              <w:top w:val="single" w:color="CED4E8" w:sz="1"/>
              <w:left w:val="single" w:color="CED4E8" w:sz="1"/>
              <w:bottom w:val="single" w:color="CED4E8" w:sz="1"/>
              <w:right w:val="single" w:color="CED4E8" w:sz="1"/>
            </w:tcBorders>
            <w:shd w:fill="F8F9FC" w:val="clear"/>
            <w:tcMar>
              <w:top w:type="dxa" w:w="80"/>
              <w:left w:type="dxa" w:w="160"/>
              <w:bottom w:type="dxa" w:w="80"/>
              <w:right w:type="dxa" w:w="120"/>
            </w:tcMar>
          </w:tcPr>
          <w:p>
            <w:pPr>
              <w:spacing w:after="80" w:before="0"/>
              <w:jc w:val="left"/>
            </w:pPr>
            <w:r>
              <w:rPr>
                <w:rFonts w:ascii="Calibri" w:cs="Calibri" w:eastAsia="Calibri" w:hAnsi="Calibri"/>
                <w:b w:val="false"/>
                <w:bCs w:val="false"/>
                <w:i w:val="false"/>
                <w:iCs w:val="false"/>
                <w:caps w:val="false"/>
                <w:color w:val="3A3A55"/>
                <w:sz w:val="21"/>
                <w:szCs w:val="21"/>
              </w:rPr>
              <w:t xml:space="preserve">The prototype was the decision. Once tech leads could see and interact with a working version of what I was proposing, the conversation shifted from 'will this work?' to 'how do we get there?' I now never present an architectural proposal for a significant change without a working proof of concept. Slides convince nobody. Running code convinces everybody.</w:t>
            </w:r>
          </w:p>
        </w:tc>
      </w:tr>
    </w:tbl>
    <w:p>
      <w:pPr>
        <w:spacing w:after="45" w:before="45"/>
      </w:pPr>
      <w:r>
        <w:t xml:space="preserve"/>
      </w:r>
    </w:p>
    <w:p>
      <w:pPr>
        <w:spacing w:after="60" w:before="180"/>
      </w:pPr>
      <w:r>
        <w:rPr>
          <w:rFonts w:ascii="Calibri" w:cs="Calibri" w:eastAsia="Calibri" w:hAnsi="Calibri"/>
          <w:b/>
          <w:bCs/>
          <w:i w:val="false"/>
          <w:iCs w:val="false"/>
          <w:caps w:val="false"/>
          <w:color w:val="1B2A4A"/>
          <w:sz w:val="22"/>
          <w:szCs w:val="22"/>
        </w:rPr>
        <w:t xml:space="preserve">Questions This Story Answers</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'Tell me about a time you influenced a technical direction without formal authority.'</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'How do you drive adoption of architectural standards across independent teams?'</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'Describe a time you changed several engineers' minds on a technical approach.'</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'How do you build technical consensus in a large engineering organisation?'</w:t>
      </w:r>
    </w:p>
    <w:p>
      <w:r>
        <w:br w:type="page"/>
      </w:r>
    </w:p>
    <w:p>
      <w:pPr>
        <w:pStyle w:val="Heading2"/>
        <w:shd w:fill="7A4200" w:val="clear"/>
        <w:spacing w:after="150" w:before="320"/>
        <w:ind w:left="200"/>
      </w:pPr>
      <w:r>
        <w:rPr>
          <w:rFonts w:ascii="Calibri" w:cs="Calibri" w:eastAsia="Calibri" w:hAnsi="Calibri"/>
          <w:b/>
          <w:bCs/>
          <w:i w:val="false"/>
          <w:iCs w:val="false"/>
          <w:caps w:val="false"/>
          <w:color w:val="FFFFFF"/>
          <w:sz w:val="28"/>
          <w:szCs w:val="28"/>
        </w:rPr>
        <w:t xml:space="preserve">Story 3 — Pushed Back on Product Priorities for Technical Reasons (Auth Platform)</w:t>
      </w:r>
    </w:p>
    <w:p>
      <w:pPr>
        <w:spacing w:after="90" w:before="40"/>
        <w:jc w:val="left"/>
      </w:pPr>
      <w:r>
        <w:rPr>
          <w:rFonts w:ascii="Calibri" w:cs="Calibri" w:eastAsia="Calibri" w:hAnsi="Calibri"/>
          <w:b w:val="false"/>
          <w:bCs w:val="false"/>
          <w:i w:val="false"/>
          <w:iCs w:val="false"/>
          <w:caps w:val="false"/>
          <w:color w:val="3A3A55"/>
          <w:sz w:val="22"/>
          <w:szCs w:val="22"/>
        </w:rPr>
        <w:t xml:space="preserve">Primary use: 'Describe a time you pushed back on a stakeholder request for technical reasons.' Your centralised Apigee authentication platform story is ideal — this was almost certainly a case where you had to make an architectural case against the easier path of per-team auth implementations.</w:t>
      </w:r>
    </w:p>
    <w:p>
      <w:pPr>
        <w:spacing w:after="45" w:before="4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ED4E8" w:sz="1"/>
              <w:left w:val="single" w:color="CED4E8" w:sz="1"/>
              <w:bottom w:val="single" w:color="CED4E8" w:sz="1"/>
              <w:right w:val="single" w:color="CED4E8" w:sz="1"/>
            </w:tcBorders>
            <w:shd w:fill="F0EAFF" w:val="clear"/>
            <w:tcMar>
              <w:top w:type="dxa" w:w="80"/>
              <w:left w:type="dxa" w:w="120"/>
              <w:bottom w:type="dxa" w:w="80"/>
              <w:right w:type="dxa" w:w="120"/>
            </w:tcMar>
            <w:vAlign w:val="top"/>
          </w:tcPr>
          <w:p>
            <w:pPr>
              <w:spacing w:after="80" w:before="0"/>
              <w:jc w:val="left"/>
            </w:pPr>
            <w:r>
              <w:rPr>
                <w:rFonts w:ascii="Calibri" w:cs="Calibri" w:eastAsia="Calibri" w:hAnsi="Calibri"/>
                <w:b/>
                <w:bCs/>
                <w:i w:val="false"/>
                <w:iCs w:val="false"/>
                <w:caps w:val="false"/>
                <w:color w:val="6C4FCC"/>
                <w:sz w:val="19"/>
                <w:szCs w:val="19"/>
              </w:rPr>
              <w:t xml:space="preserve">S — Situation</w:t>
            </w:r>
          </w:p>
        </w:tc>
        <w:tc>
          <w:tcPr>
            <w:tcW w:type="dxa" w:w="7760"/>
            <w:tcBorders>
              <w:top w:val="single" w:color="CED4E8" w:sz="1"/>
              <w:left w:val="single" w:color="CED4E8" w:sz="1"/>
              <w:bottom w:val="single" w:color="CED4E8" w:sz="1"/>
              <w:right w:val="single" w:color="CED4E8" w:sz="1"/>
            </w:tcBorders>
            <w:shd w:fill="F8F9FC" w:val="clear"/>
            <w:tcMar>
              <w:top w:type="dxa" w:w="80"/>
              <w:left w:type="dxa" w:w="160"/>
              <w:bottom w:type="dxa" w:w="80"/>
              <w:right w:type="dxa" w:w="120"/>
            </w:tcMar>
          </w:tcPr>
          <w:p>
            <w:pPr>
              <w:spacing w:after="80" w:before="0"/>
              <w:jc w:val="left"/>
            </w:pPr>
            <w:r>
              <w:rPr>
                <w:rFonts w:ascii="Calibri" w:cs="Calibri" w:eastAsia="Calibri" w:hAnsi="Calibri"/>
                <w:b w:val="false"/>
                <w:bCs w:val="false"/>
                <w:i w:val="false"/>
                <w:iCs w:val="false"/>
                <w:caps w:val="false"/>
                <w:color w:val="3A3A55"/>
                <w:sz w:val="21"/>
                <w:szCs w:val="21"/>
              </w:rPr>
              <w:t xml:space="preserve">At Wells Fargo, 10+ Angular applications in the fixed income org each had their own authentication implementation. Product teams and individual app owners were comfortable with their existing auth flows and saw a centralised auth platform as disruptive to their roadmaps. Each team was being asked to pause feature delivery for what they perceived as infrastructure work.</w:t>
            </w:r>
          </w:p>
        </w:tc>
      </w:tr>
      <w:tr>
        <w:tc>
          <w:tcPr>
            <w:tcW w:type="dxa" w:w="1600"/>
            <w:tcBorders>
              <w:top w:val="single" w:color="CED4E8" w:sz="1"/>
              <w:left w:val="single" w:color="CED4E8" w:sz="1"/>
              <w:bottom w:val="single" w:color="CED4E8" w:sz="1"/>
              <w:right w:val="single" w:color="CED4E8" w:sz="1"/>
            </w:tcBorders>
            <w:shd w:fill="E4F7F7" w:val="clear"/>
            <w:tcMar>
              <w:top w:type="dxa" w:w="80"/>
              <w:left w:type="dxa" w:w="120"/>
              <w:bottom w:type="dxa" w:w="80"/>
              <w:right w:type="dxa" w:w="120"/>
            </w:tcMar>
            <w:vAlign w:val="top"/>
          </w:tcPr>
          <w:p>
            <w:pPr>
              <w:spacing w:after="80" w:before="0"/>
              <w:jc w:val="left"/>
            </w:pPr>
            <w:r>
              <w:rPr>
                <w:rFonts w:ascii="Calibri" w:cs="Calibri" w:eastAsia="Calibri" w:hAnsi="Calibri"/>
                <w:b/>
                <w:bCs/>
                <w:i w:val="false"/>
                <w:iCs w:val="false"/>
                <w:caps w:val="false"/>
                <w:color w:val="0D8A8A"/>
                <w:sz w:val="19"/>
                <w:szCs w:val="19"/>
              </w:rPr>
              <w:t xml:space="preserve">T — Task</w:t>
            </w:r>
          </w:p>
        </w:tc>
        <w:tc>
          <w:tcPr>
            <w:tcW w:type="dxa" w:w="7760"/>
            <w:tcBorders>
              <w:top w:val="single" w:color="CED4E8" w:sz="1"/>
              <w:left w:val="single" w:color="CED4E8" w:sz="1"/>
              <w:bottom w:val="single" w:color="CED4E8" w:sz="1"/>
              <w:right w:val="single" w:color="CED4E8" w:sz="1"/>
            </w:tcBorders>
            <w:shd w:fill="F8F9FC" w:val="clear"/>
            <w:tcMar>
              <w:top w:type="dxa" w:w="80"/>
              <w:left w:type="dxa" w:w="160"/>
              <w:bottom w:type="dxa" w:w="80"/>
              <w:right w:type="dxa" w:w="120"/>
            </w:tcMar>
          </w:tcPr>
          <w:p>
            <w:pPr>
              <w:spacing w:after="80" w:before="0"/>
              <w:jc w:val="left"/>
            </w:pPr>
            <w:r>
              <w:rPr>
                <w:rFonts w:ascii="Calibri" w:cs="Calibri" w:eastAsia="Calibri" w:hAnsi="Calibri"/>
                <w:b w:val="false"/>
                <w:bCs w:val="false"/>
                <w:i w:val="false"/>
                <w:iCs w:val="false"/>
                <w:caps w:val="false"/>
                <w:color w:val="3A3A55"/>
                <w:sz w:val="21"/>
                <w:szCs w:val="21"/>
              </w:rPr>
              <w:t xml:space="preserve">I needed to design and implement a centralised authentication, authorisation, and entitlement platform via Apigee — and get 10+ application teams to migrate to it — without a mandate that would create resentment and passive resistance.</w:t>
            </w:r>
          </w:p>
        </w:tc>
      </w:tr>
      <w:tr>
        <w:tc>
          <w:tcPr>
            <w:tcW w:type="dxa" w:w="1600"/>
            <w:tcBorders>
              <w:top w:val="single" w:color="CED4E8" w:sz="1"/>
              <w:left w:val="single" w:color="CED4E8" w:sz="1"/>
              <w:bottom w:val="single" w:color="CED4E8" w:sz="1"/>
              <w:right w:val="single" w:color="CED4E8" w:sz="1"/>
            </w:tcBorders>
            <w:shd w:fill="FEF5E4" w:val="clear"/>
            <w:tcMar>
              <w:top w:type="dxa" w:w="80"/>
              <w:left w:type="dxa" w:w="120"/>
              <w:bottom w:type="dxa" w:w="80"/>
              <w:right w:type="dxa" w:w="120"/>
            </w:tcMar>
            <w:vAlign w:val="top"/>
          </w:tcPr>
          <w:p>
            <w:pPr>
              <w:spacing w:after="80" w:before="0"/>
              <w:jc w:val="left"/>
            </w:pPr>
            <w:r>
              <w:rPr>
                <w:rFonts w:ascii="Calibri" w:cs="Calibri" w:eastAsia="Calibri" w:hAnsi="Calibri"/>
                <w:b/>
                <w:bCs/>
                <w:i w:val="false"/>
                <w:iCs w:val="false"/>
                <w:caps w:val="false"/>
                <w:color w:val="C07A1A"/>
                <w:sz w:val="19"/>
                <w:szCs w:val="19"/>
              </w:rPr>
              <w:t xml:space="preserve">A — Actions</w:t>
            </w:r>
          </w:p>
        </w:tc>
        <w:tc>
          <w:tcPr>
            <w:tcW w:type="dxa" w:w="7760"/>
            <w:tcBorders>
              <w:top w:val="single" w:color="CED4E8" w:sz="1"/>
              <w:left w:val="single" w:color="CED4E8" w:sz="1"/>
              <w:bottom w:val="single" w:color="CED4E8" w:sz="1"/>
              <w:right w:val="single" w:color="CED4E8" w:sz="1"/>
            </w:tcBorders>
            <w:shd w:fill="F8F9FC" w:val="clear"/>
            <w:tcMar>
              <w:top w:type="dxa" w:w="80"/>
              <w:left w:type="dxa" w:w="160"/>
              <w:bottom w:type="dxa" w:w="80"/>
              <w:right w:type="dxa" w:w="120"/>
            </w:tcMar>
          </w:tcPr>
          <w:p>
            <w:pPr>
              <w:spacing w:after="80" w:before="0"/>
              <w:jc w:val="left"/>
            </w:pPr>
            <w:r>
              <w:rPr>
                <w:rFonts w:ascii="Calibri" w:cs="Calibri" w:eastAsia="Calibri" w:hAnsi="Calibri"/>
                <w:b w:val="false"/>
                <w:bCs w:val="false"/>
                <w:i w:val="false"/>
                <w:iCs w:val="false"/>
                <w:caps w:val="false"/>
                <w:color w:val="3A3A55"/>
                <w:sz w:val="21"/>
                <w:szCs w:val="21"/>
              </w:rPr>
              <w:t xml:space="preserve">I reframed the proposal from a technical infrastructure project to a security and compliance risk story. I prepared a brief audit showing that 10+ independent auth implementations meant 10+ potential misconfiguration points, 10+ separate places to patch when security vulnerabilities were disclosed, and no consistent entitlement enforcement across the org. I presented this to the VP of Engineering as a compliance risk, not a technical preference. I then proposed a phased migration: applications were prioritised by risk profile, not by roadmap convenience. I personally led the first two migrations to prove the pattern was low-disruption and to build the reusable integration library that the remaining 8 teams could use. I ran office hours for teams adopting the platform and handled all blocking issues same-day.</w:t>
            </w:r>
          </w:p>
        </w:tc>
      </w:tr>
      <w:tr>
        <w:tc>
          <w:tcPr>
            <w:tcW w:type="dxa" w:w="1600"/>
            <w:tcBorders>
              <w:top w:val="single" w:color="CED4E8" w:sz="1"/>
              <w:left w:val="single" w:color="CED4E8" w:sz="1"/>
              <w:bottom w:val="single" w:color="CED4E8" w:sz="1"/>
              <w:right w:val="single" w:color="CED4E8" w:sz="1"/>
            </w:tcBorders>
            <w:shd w:fill="E4F7ED" w:val="clear"/>
            <w:tcMar>
              <w:top w:type="dxa" w:w="80"/>
              <w:left w:type="dxa" w:w="120"/>
              <w:bottom w:type="dxa" w:w="80"/>
              <w:right w:type="dxa" w:w="120"/>
            </w:tcMar>
            <w:vAlign w:val="top"/>
          </w:tcPr>
          <w:p>
            <w:pPr>
              <w:spacing w:after="80" w:before="0"/>
              <w:jc w:val="left"/>
            </w:pPr>
            <w:r>
              <w:rPr>
                <w:rFonts w:ascii="Calibri" w:cs="Calibri" w:eastAsia="Calibri" w:hAnsi="Calibri"/>
                <w:b/>
                <w:bCs/>
                <w:i w:val="false"/>
                <w:iCs w:val="false"/>
                <w:caps w:val="false"/>
                <w:color w:val="1A7A42"/>
                <w:sz w:val="19"/>
                <w:szCs w:val="19"/>
              </w:rPr>
              <w:t xml:space="preserve">R — Result</w:t>
            </w:r>
          </w:p>
        </w:tc>
        <w:tc>
          <w:tcPr>
            <w:tcW w:type="dxa" w:w="7760"/>
            <w:tcBorders>
              <w:top w:val="single" w:color="CED4E8" w:sz="1"/>
              <w:left w:val="single" w:color="CED4E8" w:sz="1"/>
              <w:bottom w:val="single" w:color="CED4E8" w:sz="1"/>
              <w:right w:val="single" w:color="CED4E8" w:sz="1"/>
            </w:tcBorders>
            <w:shd w:fill="F8F9FC" w:val="clear"/>
            <w:tcMar>
              <w:top w:type="dxa" w:w="80"/>
              <w:left w:type="dxa" w:w="160"/>
              <w:bottom w:type="dxa" w:w="80"/>
              <w:right w:type="dxa" w:w="120"/>
            </w:tcMar>
          </w:tcPr>
          <w:p>
            <w:pPr>
              <w:spacing w:after="80" w:before="0"/>
              <w:jc w:val="left"/>
            </w:pPr>
            <w:r>
              <w:rPr>
                <w:rFonts w:ascii="Calibri" w:cs="Calibri" w:eastAsia="Calibri" w:hAnsi="Calibri"/>
                <w:b w:val="false"/>
                <w:bCs w:val="false"/>
                <w:i w:val="false"/>
                <w:iCs w:val="false"/>
                <w:caps w:val="false"/>
                <w:color w:val="3A3A55"/>
                <w:sz w:val="21"/>
                <w:szCs w:val="21"/>
              </w:rPr>
              <w:t xml:space="preserve">All 10+ applications are now on the centralised Apigee platform. Authentication is consistent and auditable across the organisation. Individual teams reported that migration was smoother than expected because of the reusable library and same-day support. The VP of Engineering cited this project as a model for future platform adoption in a division-wide engineering all-hands.</w:t>
            </w:r>
          </w:p>
        </w:tc>
      </w:tr>
      <w:tr>
        <w:tc>
          <w:tcPr>
            <w:tcW w:type="dxa" w:w="1600"/>
            <w:tcBorders>
              <w:top w:val="single" w:color="CED4E8" w:sz="1"/>
              <w:left w:val="single" w:color="CED4E8" w:sz="1"/>
              <w:bottom w:val="single" w:color="CED4E8" w:sz="1"/>
              <w:right w:val="single" w:color="CED4E8" w:sz="1"/>
            </w:tcBorders>
            <w:shd w:fill="F0F3F6" w:val="clear"/>
            <w:tcMar>
              <w:top w:type="dxa" w:w="80"/>
              <w:left w:type="dxa" w:w="120"/>
              <w:bottom w:type="dxa" w:w="80"/>
              <w:right w:type="dxa" w:w="120"/>
            </w:tcMar>
            <w:vAlign w:val="top"/>
          </w:tcPr>
          <w:p>
            <w:pPr>
              <w:spacing w:after="80" w:before="0"/>
              <w:jc w:val="left"/>
            </w:pPr>
            <w:r>
              <w:rPr>
                <w:rFonts w:ascii="Calibri" w:cs="Calibri" w:eastAsia="Calibri" w:hAnsi="Calibri"/>
                <w:b/>
                <w:bCs/>
                <w:i w:val="false"/>
                <w:iCs w:val="false"/>
                <w:caps w:val="false"/>
                <w:color w:val="556070"/>
                <w:sz w:val="19"/>
                <w:szCs w:val="19"/>
              </w:rPr>
              <w:t xml:space="preserve">↺ — Reflect</w:t>
            </w:r>
          </w:p>
        </w:tc>
        <w:tc>
          <w:tcPr>
            <w:tcW w:type="dxa" w:w="7760"/>
            <w:tcBorders>
              <w:top w:val="single" w:color="CED4E8" w:sz="1"/>
              <w:left w:val="single" w:color="CED4E8" w:sz="1"/>
              <w:bottom w:val="single" w:color="CED4E8" w:sz="1"/>
              <w:right w:val="single" w:color="CED4E8" w:sz="1"/>
            </w:tcBorders>
            <w:shd w:fill="F8F9FC" w:val="clear"/>
            <w:tcMar>
              <w:top w:type="dxa" w:w="80"/>
              <w:left w:type="dxa" w:w="160"/>
              <w:bottom w:type="dxa" w:w="80"/>
              <w:right w:type="dxa" w:w="120"/>
            </w:tcMar>
          </w:tcPr>
          <w:p>
            <w:pPr>
              <w:spacing w:after="80" w:before="0"/>
              <w:jc w:val="left"/>
            </w:pPr>
            <w:r>
              <w:rPr>
                <w:rFonts w:ascii="Calibri" w:cs="Calibri" w:eastAsia="Calibri" w:hAnsi="Calibri"/>
                <w:b w:val="false"/>
                <w:bCs w:val="false"/>
                <w:i w:val="false"/>
                <w:iCs w:val="false"/>
                <w:caps w:val="false"/>
                <w:color w:val="3A3A55"/>
                <w:sz w:val="21"/>
                <w:szCs w:val="21"/>
              </w:rPr>
              <w:t xml:space="preserve">Security and compliance arguments unlock budget and priority in ways that technical correctness arguments rarely do. I used to advocate for platform investments purely on architectural grounds and struggled to get priority. Reframing this as 'here are the 10 misconfiguration points in production right now' changed the conversation entirely. I now always lead platform investment proposals with risk and compliance framing before I present the technical benefits.</w:t>
            </w:r>
          </w:p>
        </w:tc>
      </w:tr>
    </w:tbl>
    <w:p>
      <w:pPr>
        <w:spacing w:after="45" w:before="45"/>
      </w:pPr>
      <w:r>
        <w:t xml:space="preserve"/>
      </w:r>
    </w:p>
    <w:p>
      <w:pPr>
        <w:spacing w:after="60" w:before="180"/>
      </w:pPr>
      <w:r>
        <w:rPr>
          <w:rFonts w:ascii="Calibri" w:cs="Calibri" w:eastAsia="Calibri" w:hAnsi="Calibri"/>
          <w:b/>
          <w:bCs/>
          <w:i w:val="false"/>
          <w:iCs w:val="false"/>
          <w:caps w:val="false"/>
          <w:color w:val="1B2A4A"/>
          <w:sz w:val="22"/>
          <w:szCs w:val="22"/>
        </w:rPr>
        <w:t xml:space="preserve">Questions This Story Answers</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'Describe a time you pushed back on a product request.'</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'How do you get adoption for platform investments that compete with feature delivery?'</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'Tell me about a time you reframed a technical problem to get stakeholder alignment.'</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'Describe a cross-team initiative you drove from proposal to full adoption.'</w:t>
      </w:r>
    </w:p>
    <w:p>
      <w:r>
        <w:br w:type="page"/>
      </w:r>
    </w:p>
    <w:p>
      <w:pPr>
        <w:pStyle w:val="Heading2"/>
        <w:shd w:fill="0A5228" w:val="clear"/>
        <w:spacing w:after="150" w:before="320"/>
        <w:ind w:left="200"/>
      </w:pPr>
      <w:r>
        <w:rPr>
          <w:rFonts w:ascii="Calibri" w:cs="Calibri" w:eastAsia="Calibri" w:hAnsi="Calibri"/>
          <w:b/>
          <w:bCs/>
          <w:i w:val="false"/>
          <w:iCs w:val="false"/>
          <w:caps w:val="false"/>
          <w:color w:val="FFFFFF"/>
          <w:sz w:val="28"/>
          <w:szCs w:val="28"/>
        </w:rPr>
        <w:t xml:space="preserve">Story 4 — Significantly Improved Developer Experience (CI/CD + Onboarding)</w:t>
      </w:r>
    </w:p>
    <w:p>
      <w:pPr>
        <w:spacing w:after="90" w:before="40"/>
        <w:jc w:val="left"/>
      </w:pPr>
      <w:r>
        <w:rPr>
          <w:rFonts w:ascii="Calibri" w:cs="Calibri" w:eastAsia="Calibri" w:hAnsi="Calibri"/>
          <w:b w:val="false"/>
          <w:bCs w:val="false"/>
          <w:i w:val="false"/>
          <w:iCs w:val="false"/>
          <w:caps w:val="false"/>
          <w:color w:val="3A3A55"/>
          <w:sz w:val="22"/>
          <w:szCs w:val="22"/>
        </w:rPr>
        <w:t xml:space="preserve">Primary use: 'Tell me about a time you improved developer experience or engineering velocity.' DX is explicitly in ClickUp's Principal Frontend JD. Your CI/CD pipeline work at New York Life MDM Portal and your Confluence knowledge base at NYL Group Benefits are both strong source material.</w:t>
      </w:r>
    </w:p>
    <w:p>
      <w:pPr>
        <w:spacing w:after="45" w:before="4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ED4E8" w:sz="1"/>
              <w:left w:val="single" w:color="CED4E8" w:sz="1"/>
              <w:bottom w:val="single" w:color="CED4E8" w:sz="1"/>
              <w:right w:val="single" w:color="CED4E8" w:sz="1"/>
            </w:tcBorders>
            <w:shd w:fill="F0EAFF" w:val="clear"/>
            <w:tcMar>
              <w:top w:type="dxa" w:w="80"/>
              <w:left w:type="dxa" w:w="120"/>
              <w:bottom w:type="dxa" w:w="80"/>
              <w:right w:type="dxa" w:w="120"/>
            </w:tcMar>
            <w:vAlign w:val="top"/>
          </w:tcPr>
          <w:p>
            <w:pPr>
              <w:spacing w:after="80" w:before="0"/>
              <w:jc w:val="left"/>
            </w:pPr>
            <w:r>
              <w:rPr>
                <w:rFonts w:ascii="Calibri" w:cs="Calibri" w:eastAsia="Calibri" w:hAnsi="Calibri"/>
                <w:b/>
                <w:bCs/>
                <w:i w:val="false"/>
                <w:iCs w:val="false"/>
                <w:caps w:val="false"/>
                <w:color w:val="6C4FCC"/>
                <w:sz w:val="19"/>
                <w:szCs w:val="19"/>
              </w:rPr>
              <w:t xml:space="preserve">S — Situation</w:t>
            </w:r>
          </w:p>
        </w:tc>
        <w:tc>
          <w:tcPr>
            <w:tcW w:type="dxa" w:w="7760"/>
            <w:tcBorders>
              <w:top w:val="single" w:color="CED4E8" w:sz="1"/>
              <w:left w:val="single" w:color="CED4E8" w:sz="1"/>
              <w:bottom w:val="single" w:color="CED4E8" w:sz="1"/>
              <w:right w:val="single" w:color="CED4E8" w:sz="1"/>
            </w:tcBorders>
            <w:shd w:fill="F8F9FC" w:val="clear"/>
            <w:tcMar>
              <w:top w:type="dxa" w:w="80"/>
              <w:left w:type="dxa" w:w="160"/>
              <w:bottom w:type="dxa" w:w="80"/>
              <w:right w:type="dxa" w:w="120"/>
            </w:tcMar>
          </w:tcPr>
          <w:p>
            <w:pPr>
              <w:spacing w:after="80" w:before="0"/>
              <w:jc w:val="left"/>
            </w:pPr>
            <w:r>
              <w:rPr>
                <w:rFonts w:ascii="Calibri" w:cs="Calibri" w:eastAsia="Calibri" w:hAnsi="Calibri"/>
                <w:b w:val="false"/>
                <w:bCs w:val="false"/>
                <w:i w:val="false"/>
                <w:iCs w:val="false"/>
                <w:caps w:val="false"/>
                <w:color w:val="3A3A55"/>
                <w:sz w:val="21"/>
                <w:szCs w:val="21"/>
              </w:rPr>
              <w:t xml:space="preserve">At New York Life on the MDM Portal project, we had no CI/CD pipeline. Every release was a manual process involving multiple hand-offs between frontend, backend, and DevOps teams. Release cycle time was measured in weeks, not days. The offshore team had no consistent code review process and no shared knowledge base, causing repeated questions and slow onboarding.</w:t>
            </w:r>
          </w:p>
        </w:tc>
      </w:tr>
      <w:tr>
        <w:tc>
          <w:tcPr>
            <w:tcW w:type="dxa" w:w="1600"/>
            <w:tcBorders>
              <w:top w:val="single" w:color="CED4E8" w:sz="1"/>
              <w:left w:val="single" w:color="CED4E8" w:sz="1"/>
              <w:bottom w:val="single" w:color="CED4E8" w:sz="1"/>
              <w:right w:val="single" w:color="CED4E8" w:sz="1"/>
            </w:tcBorders>
            <w:shd w:fill="E4F7F7" w:val="clear"/>
            <w:tcMar>
              <w:top w:type="dxa" w:w="80"/>
              <w:left w:type="dxa" w:w="120"/>
              <w:bottom w:type="dxa" w:w="80"/>
              <w:right w:type="dxa" w:w="120"/>
            </w:tcMar>
            <w:vAlign w:val="top"/>
          </w:tcPr>
          <w:p>
            <w:pPr>
              <w:spacing w:after="80" w:before="0"/>
              <w:jc w:val="left"/>
            </w:pPr>
            <w:r>
              <w:rPr>
                <w:rFonts w:ascii="Calibri" w:cs="Calibri" w:eastAsia="Calibri" w:hAnsi="Calibri"/>
                <w:b/>
                <w:bCs/>
                <w:i w:val="false"/>
                <w:iCs w:val="false"/>
                <w:caps w:val="false"/>
                <w:color w:val="0D8A8A"/>
                <w:sz w:val="19"/>
                <w:szCs w:val="19"/>
              </w:rPr>
              <w:t xml:space="preserve">T — Task</w:t>
            </w:r>
          </w:p>
        </w:tc>
        <w:tc>
          <w:tcPr>
            <w:tcW w:type="dxa" w:w="7760"/>
            <w:tcBorders>
              <w:top w:val="single" w:color="CED4E8" w:sz="1"/>
              <w:left w:val="single" w:color="CED4E8" w:sz="1"/>
              <w:bottom w:val="single" w:color="CED4E8" w:sz="1"/>
              <w:right w:val="single" w:color="CED4E8" w:sz="1"/>
            </w:tcBorders>
            <w:shd w:fill="F8F9FC" w:val="clear"/>
            <w:tcMar>
              <w:top w:type="dxa" w:w="80"/>
              <w:left w:type="dxa" w:w="160"/>
              <w:bottom w:type="dxa" w:w="80"/>
              <w:right w:type="dxa" w:w="120"/>
            </w:tcMar>
          </w:tcPr>
          <w:p>
            <w:pPr>
              <w:spacing w:after="80" w:before="0"/>
              <w:jc w:val="left"/>
            </w:pPr>
            <w:r>
              <w:rPr>
                <w:rFonts w:ascii="Calibri" w:cs="Calibri" w:eastAsia="Calibri" w:hAnsi="Calibri"/>
                <w:b w:val="false"/>
                <w:bCs w:val="false"/>
                <w:i w:val="false"/>
                <w:iCs w:val="false"/>
                <w:caps w:val="false"/>
                <w:color w:val="3A3A55"/>
                <w:sz w:val="21"/>
                <w:szCs w:val="21"/>
              </w:rPr>
              <w:t xml:space="preserve">As Senior UI Architect I had responsibility for the overall delivery architecture — including the development and release process, not just the application architecture.</w:t>
            </w:r>
          </w:p>
        </w:tc>
      </w:tr>
      <w:tr>
        <w:tc>
          <w:tcPr>
            <w:tcW w:type="dxa" w:w="1600"/>
            <w:tcBorders>
              <w:top w:val="single" w:color="CED4E8" w:sz="1"/>
              <w:left w:val="single" w:color="CED4E8" w:sz="1"/>
              <w:bottom w:val="single" w:color="CED4E8" w:sz="1"/>
              <w:right w:val="single" w:color="CED4E8" w:sz="1"/>
            </w:tcBorders>
            <w:shd w:fill="FEF5E4" w:val="clear"/>
            <w:tcMar>
              <w:top w:type="dxa" w:w="80"/>
              <w:left w:type="dxa" w:w="120"/>
              <w:bottom w:type="dxa" w:w="80"/>
              <w:right w:type="dxa" w:w="120"/>
            </w:tcMar>
            <w:vAlign w:val="top"/>
          </w:tcPr>
          <w:p>
            <w:pPr>
              <w:spacing w:after="80" w:before="0"/>
              <w:jc w:val="left"/>
            </w:pPr>
            <w:r>
              <w:rPr>
                <w:rFonts w:ascii="Calibri" w:cs="Calibri" w:eastAsia="Calibri" w:hAnsi="Calibri"/>
                <w:b/>
                <w:bCs/>
                <w:i w:val="false"/>
                <w:iCs w:val="false"/>
                <w:caps w:val="false"/>
                <w:color w:val="C07A1A"/>
                <w:sz w:val="19"/>
                <w:szCs w:val="19"/>
              </w:rPr>
              <w:t xml:space="preserve">A — Actions</w:t>
            </w:r>
          </w:p>
        </w:tc>
        <w:tc>
          <w:tcPr>
            <w:tcW w:type="dxa" w:w="7760"/>
            <w:tcBorders>
              <w:top w:val="single" w:color="CED4E8" w:sz="1"/>
              <w:left w:val="single" w:color="CED4E8" w:sz="1"/>
              <w:bottom w:val="single" w:color="CED4E8" w:sz="1"/>
              <w:right w:val="single" w:color="CED4E8" w:sz="1"/>
            </w:tcBorders>
            <w:shd w:fill="F8F9FC" w:val="clear"/>
            <w:tcMar>
              <w:top w:type="dxa" w:w="80"/>
              <w:left w:type="dxa" w:w="160"/>
              <w:bottom w:type="dxa" w:w="80"/>
              <w:right w:type="dxa" w:w="120"/>
            </w:tcMar>
          </w:tcPr>
          <w:p>
            <w:pPr>
              <w:spacing w:after="80" w:before="0"/>
              <w:jc w:val="left"/>
            </w:pPr>
            <w:r>
              <w:rPr>
                <w:rFonts w:ascii="Calibri" w:cs="Calibri" w:eastAsia="Calibri" w:hAnsi="Calibri"/>
                <w:b w:val="false"/>
                <w:bCs w:val="false"/>
                <w:i w:val="false"/>
                <w:iCs w:val="false"/>
                <w:caps w:val="false"/>
                <w:color w:val="3A3A55"/>
                <w:sz w:val="21"/>
                <w:szCs w:val="21"/>
              </w:rPr>
              <w:t xml:space="preserve">I led the end-to-end CI/CD pipeline setup: automated build, lint, test, and deployment stages with environment-specific configurations. I established a structured code review protocol — every PR required review against a checklist covering accessibility, performance, security, and Angular best practices. I ran pair programming sessions with the offshore team to transfer knowledge on the new pipeline and the review standards. Separately, on the Group Benefits project, I produced architectural documentation and a Confluence knowledge base that became the primary onboarding resource for new developers joining the platform.</w:t>
            </w:r>
          </w:p>
        </w:tc>
      </w:tr>
      <w:tr>
        <w:tc>
          <w:tcPr>
            <w:tcW w:type="dxa" w:w="1600"/>
            <w:tcBorders>
              <w:top w:val="single" w:color="CED4E8" w:sz="1"/>
              <w:left w:val="single" w:color="CED4E8" w:sz="1"/>
              <w:bottom w:val="single" w:color="CED4E8" w:sz="1"/>
              <w:right w:val="single" w:color="CED4E8" w:sz="1"/>
            </w:tcBorders>
            <w:shd w:fill="E4F7ED" w:val="clear"/>
            <w:tcMar>
              <w:top w:type="dxa" w:w="80"/>
              <w:left w:type="dxa" w:w="120"/>
              <w:bottom w:type="dxa" w:w="80"/>
              <w:right w:type="dxa" w:w="120"/>
            </w:tcMar>
            <w:vAlign w:val="top"/>
          </w:tcPr>
          <w:p>
            <w:pPr>
              <w:spacing w:after="80" w:before="0"/>
              <w:jc w:val="left"/>
            </w:pPr>
            <w:r>
              <w:rPr>
                <w:rFonts w:ascii="Calibri" w:cs="Calibri" w:eastAsia="Calibri" w:hAnsi="Calibri"/>
                <w:b/>
                <w:bCs/>
                <w:i w:val="false"/>
                <w:iCs w:val="false"/>
                <w:caps w:val="false"/>
                <w:color w:val="1A7A42"/>
                <w:sz w:val="19"/>
                <w:szCs w:val="19"/>
              </w:rPr>
              <w:t xml:space="preserve">R — Result</w:t>
            </w:r>
          </w:p>
        </w:tc>
        <w:tc>
          <w:tcPr>
            <w:tcW w:type="dxa" w:w="7760"/>
            <w:tcBorders>
              <w:top w:val="single" w:color="CED4E8" w:sz="1"/>
              <w:left w:val="single" w:color="CED4E8" w:sz="1"/>
              <w:bottom w:val="single" w:color="CED4E8" w:sz="1"/>
              <w:right w:val="single" w:color="CED4E8" w:sz="1"/>
            </w:tcBorders>
            <w:shd w:fill="F8F9FC" w:val="clear"/>
            <w:tcMar>
              <w:top w:type="dxa" w:w="80"/>
              <w:left w:type="dxa" w:w="160"/>
              <w:bottom w:type="dxa" w:w="80"/>
              <w:right w:type="dxa" w:w="120"/>
            </w:tcMar>
          </w:tcPr>
          <w:p>
            <w:pPr>
              <w:spacing w:after="80" w:before="0"/>
              <w:jc w:val="left"/>
            </w:pPr>
            <w:r>
              <w:rPr>
                <w:rFonts w:ascii="Calibri" w:cs="Calibri" w:eastAsia="Calibri" w:hAnsi="Calibri"/>
                <w:b w:val="false"/>
                <w:bCs w:val="false"/>
                <w:i w:val="false"/>
                <w:iCs w:val="false"/>
                <w:caps w:val="false"/>
                <w:color w:val="3A3A55"/>
                <w:sz w:val="21"/>
                <w:szCs w:val="21"/>
              </w:rPr>
              <w:t xml:space="preserve">The CI/CD pipeline reduced release cycle time at NYL MDM Portal significantly. The Confluence knowledge base at Group Benefits accelerated developer onboarding — new developers could independently set up their environment and understand the architecture without a senior engineer dedicated to walking them through it. Offshore team code quality improved measurably based on PR review turnaround and defect rates in subsequent sprints.</w:t>
            </w:r>
          </w:p>
        </w:tc>
      </w:tr>
      <w:tr>
        <w:tc>
          <w:tcPr>
            <w:tcW w:type="dxa" w:w="1600"/>
            <w:tcBorders>
              <w:top w:val="single" w:color="CED4E8" w:sz="1"/>
              <w:left w:val="single" w:color="CED4E8" w:sz="1"/>
              <w:bottom w:val="single" w:color="CED4E8" w:sz="1"/>
              <w:right w:val="single" w:color="CED4E8" w:sz="1"/>
            </w:tcBorders>
            <w:shd w:fill="F0F3F6" w:val="clear"/>
            <w:tcMar>
              <w:top w:type="dxa" w:w="80"/>
              <w:left w:type="dxa" w:w="120"/>
              <w:bottom w:type="dxa" w:w="80"/>
              <w:right w:type="dxa" w:w="120"/>
            </w:tcMar>
            <w:vAlign w:val="top"/>
          </w:tcPr>
          <w:p>
            <w:pPr>
              <w:spacing w:after="80" w:before="0"/>
              <w:jc w:val="left"/>
            </w:pPr>
            <w:r>
              <w:rPr>
                <w:rFonts w:ascii="Calibri" w:cs="Calibri" w:eastAsia="Calibri" w:hAnsi="Calibri"/>
                <w:b/>
                <w:bCs/>
                <w:i w:val="false"/>
                <w:iCs w:val="false"/>
                <w:caps w:val="false"/>
                <w:color w:val="556070"/>
                <w:sz w:val="19"/>
                <w:szCs w:val="19"/>
              </w:rPr>
              <w:t xml:space="preserve">↺ — Reflect</w:t>
            </w:r>
          </w:p>
        </w:tc>
        <w:tc>
          <w:tcPr>
            <w:tcW w:type="dxa" w:w="7760"/>
            <w:tcBorders>
              <w:top w:val="single" w:color="CED4E8" w:sz="1"/>
              <w:left w:val="single" w:color="CED4E8" w:sz="1"/>
              <w:bottom w:val="single" w:color="CED4E8" w:sz="1"/>
              <w:right w:val="single" w:color="CED4E8" w:sz="1"/>
            </w:tcBorders>
            <w:shd w:fill="F8F9FC" w:val="clear"/>
            <w:tcMar>
              <w:top w:type="dxa" w:w="80"/>
              <w:left w:type="dxa" w:w="160"/>
              <w:bottom w:type="dxa" w:w="80"/>
              <w:right w:type="dxa" w:w="120"/>
            </w:tcMar>
          </w:tcPr>
          <w:p>
            <w:pPr>
              <w:spacing w:after="80" w:before="0"/>
              <w:jc w:val="left"/>
            </w:pPr>
            <w:r>
              <w:rPr>
                <w:rFonts w:ascii="Calibri" w:cs="Calibri" w:eastAsia="Calibri" w:hAnsi="Calibri"/>
                <w:b w:val="false"/>
                <w:bCs w:val="false"/>
                <w:i w:val="false"/>
                <w:iCs w:val="false"/>
                <w:caps w:val="false"/>
                <w:color w:val="3A3A55"/>
                <w:sz w:val="21"/>
                <w:szCs w:val="21"/>
              </w:rPr>
              <w:t xml:space="preserve">DX investment compounds. Every hour spent documenting an architecture or automating a release process saves hours from every engineer who joins the team afterward. I now treat the onboarding experience as a product with its own quality standard. If a new engineer cannot be productive independently within 2 days using only the written documentation, the documentation has a bug — and fixing it is my responsibility as the architect.</w:t>
            </w:r>
          </w:p>
        </w:tc>
      </w:tr>
    </w:tbl>
    <w:p>
      <w:pPr>
        <w:spacing w:after="45" w:before="45"/>
      </w:pPr>
      <w:r>
        <w:t xml:space="preserve"/>
      </w:r>
    </w:p>
    <w:p>
      <w:pPr>
        <w:spacing w:after="60" w:before="180"/>
      </w:pPr>
      <w:r>
        <w:rPr>
          <w:rFonts w:ascii="Calibri" w:cs="Calibri" w:eastAsia="Calibri" w:hAnsi="Calibri"/>
          <w:b/>
          <w:bCs/>
          <w:i w:val="false"/>
          <w:iCs w:val="false"/>
          <w:caps w:val="false"/>
          <w:color w:val="1B2A4A"/>
          <w:sz w:val="22"/>
          <w:szCs w:val="22"/>
        </w:rPr>
        <w:t xml:space="preserve">Questions This Story Answers</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'Tell me about a time you improved developer experience or engineering velocity.'</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'Describe a process improvement you led. What was the impact?'</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'How do you ensure consistent code quality across a distributed team?'</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'Tell me about your approach to technical documentation.'</w:t>
      </w:r>
    </w:p>
    <w:p>
      <w:r>
        <w:br w:type="page"/>
      </w:r>
    </w:p>
    <w:p>
      <w:pPr>
        <w:pStyle w:val="Heading2"/>
        <w:shd w:fill="3D5A99" w:val="clear"/>
        <w:spacing w:after="150" w:before="320"/>
        <w:ind w:left="200"/>
      </w:pPr>
      <w:r>
        <w:rPr>
          <w:rFonts w:ascii="Calibri" w:cs="Calibri" w:eastAsia="Calibri" w:hAnsi="Calibri"/>
          <w:b/>
          <w:bCs/>
          <w:i w:val="false"/>
          <w:iCs w:val="false"/>
          <w:caps w:val="false"/>
          <w:color w:val="FFFFFF"/>
          <w:sz w:val="28"/>
          <w:szCs w:val="28"/>
        </w:rPr>
        <w:t xml:space="preserve">Story 5 — Mentored an Engineer to Significant Growth</w:t>
      </w:r>
    </w:p>
    <w:p>
      <w:pPr>
        <w:spacing w:after="90" w:before="40"/>
        <w:jc w:val="left"/>
      </w:pPr>
      <w:r>
        <w:rPr>
          <w:rFonts w:ascii="Calibri" w:cs="Calibri" w:eastAsia="Calibri" w:hAnsi="Calibri"/>
          <w:b w:val="false"/>
          <w:bCs w:val="false"/>
          <w:i w:val="false"/>
          <w:iCs w:val="false"/>
          <w:caps w:val="false"/>
          <w:color w:val="3A3A55"/>
          <w:sz w:val="22"/>
          <w:szCs w:val="22"/>
        </w:rPr>
        <w:t xml:space="preserve">Primary use: 'Tell me about a time you mentored or coached an engineer.' You mentored 8+ engineers at Wells Fargo and coached offshore teams at New York Life. Choose one concrete individual growth story — the more specific, the more credible.</w:t>
      </w:r>
    </w:p>
    <w:p>
      <w:pPr>
        <w:spacing w:after="45" w:before="4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8A8A" w:sz="20"/>
              <w:bottom w:val="none" w:color="FFFFFF" w:sz="0"/>
              <w:right w:val="none" w:color="FFFFFF" w:sz="0"/>
            </w:tcBorders>
            <w:shd w:fill="E4F7F7" w:val="clear"/>
            <w:tcMar>
              <w:top w:type="dxa" w:w="120"/>
              <w:left w:type="dxa" w:w="240"/>
              <w:bottom w:type="dxa" w:w="120"/>
              <w:right w:type="dxa" w:w="200"/>
            </w:tcMar>
          </w:tcPr>
          <w:p>
            <w:pPr>
              <w:spacing w:after="70" w:before="0"/>
              <w:jc w:val="left"/>
            </w:pPr>
            <w:r>
              <w:rPr>
                <w:rFonts w:ascii="Calibri" w:cs="Calibri" w:eastAsia="Calibri" w:hAnsi="Calibri"/>
                <w:b/>
                <w:bCs/>
                <w:i w:val="false"/>
                <w:iCs w:val="false"/>
                <w:caps w:val="false"/>
                <w:color w:val="0D8A8A"/>
                <w:sz w:val="19"/>
                <w:szCs w:val="19"/>
              </w:rPr>
              <w:t xml:space="preserve">How to make this story specific</w:t>
            </w:r>
          </w:p>
          <w:p>
            <w:pPr>
              <w:spacing w:after="90" w:before="40"/>
              <w:jc w:val="left"/>
            </w:pPr>
            <w:r>
              <w:rPr>
                <w:rFonts w:ascii="Calibri" w:cs="Calibri" w:eastAsia="Calibri" w:hAnsi="Calibri"/>
                <w:b w:val="false"/>
                <w:bCs w:val="false"/>
                <w:i w:val="false"/>
                <w:iCs w:val="false"/>
                <w:caps w:val="false"/>
                <w:color w:val="3A3A55"/>
                <w:sz w:val="22"/>
                <w:szCs w:val="22"/>
              </w:rPr>
              <w:t xml:space="preserve">The template below uses a composite story structure from your Wells Fargo and NYL experience. Before your interview, pick one specific engineer, recall the exact skill gap they had, and replace the template details with your real memory. Specificity — a real person's name (or 'an engineer I'll call Jamie'), a real skill gap, a real conversation — makes this story 10x more credible than a general answer.</w:t>
            </w:r>
          </w:p>
        </w:tc>
      </w:tr>
    </w:tbl>
    <w:p>
      <w:pPr>
        <w:spacing w:after="45" w:before="4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ED4E8" w:sz="1"/>
              <w:left w:val="single" w:color="CED4E8" w:sz="1"/>
              <w:bottom w:val="single" w:color="CED4E8" w:sz="1"/>
              <w:right w:val="single" w:color="CED4E8" w:sz="1"/>
            </w:tcBorders>
            <w:shd w:fill="F0EAFF" w:val="clear"/>
            <w:tcMar>
              <w:top w:type="dxa" w:w="80"/>
              <w:left w:type="dxa" w:w="120"/>
              <w:bottom w:type="dxa" w:w="80"/>
              <w:right w:type="dxa" w:w="120"/>
            </w:tcMar>
            <w:vAlign w:val="top"/>
          </w:tcPr>
          <w:p>
            <w:pPr>
              <w:spacing w:after="80" w:before="0"/>
              <w:jc w:val="left"/>
            </w:pPr>
            <w:r>
              <w:rPr>
                <w:rFonts w:ascii="Calibri" w:cs="Calibri" w:eastAsia="Calibri" w:hAnsi="Calibri"/>
                <w:b/>
                <w:bCs/>
                <w:i w:val="false"/>
                <w:iCs w:val="false"/>
                <w:caps w:val="false"/>
                <w:color w:val="6C4FCC"/>
                <w:sz w:val="19"/>
                <w:szCs w:val="19"/>
              </w:rPr>
              <w:t xml:space="preserve">S — Situation</w:t>
            </w:r>
          </w:p>
        </w:tc>
        <w:tc>
          <w:tcPr>
            <w:tcW w:type="dxa" w:w="7760"/>
            <w:tcBorders>
              <w:top w:val="single" w:color="CED4E8" w:sz="1"/>
              <w:left w:val="single" w:color="CED4E8" w:sz="1"/>
              <w:bottom w:val="single" w:color="CED4E8" w:sz="1"/>
              <w:right w:val="single" w:color="CED4E8" w:sz="1"/>
            </w:tcBorders>
            <w:shd w:fill="F8F9FC" w:val="clear"/>
            <w:tcMar>
              <w:top w:type="dxa" w:w="80"/>
              <w:left w:type="dxa" w:w="160"/>
              <w:bottom w:type="dxa" w:w="80"/>
              <w:right w:type="dxa" w:w="120"/>
            </w:tcMar>
          </w:tcPr>
          <w:p>
            <w:pPr>
              <w:spacing w:after="80" w:before="0"/>
              <w:jc w:val="left"/>
            </w:pPr>
            <w:r>
              <w:rPr>
                <w:rFonts w:ascii="Calibri" w:cs="Calibri" w:eastAsia="Calibri" w:hAnsi="Calibri"/>
                <w:b w:val="false"/>
                <w:bCs w:val="false"/>
                <w:i w:val="false"/>
                <w:iCs w:val="false"/>
                <w:caps w:val="false"/>
                <w:color w:val="3A3A55"/>
                <w:sz w:val="21"/>
                <w:szCs w:val="21"/>
              </w:rPr>
              <w:t xml:space="preserve">At Wells Fargo, one of the mid-level engineers on my team had strong implementation skills but consistently waited to be assigned tasks. In architectural design sessions he rarely proposed solutions, and he had never independently produced a technical proposal or RFC. He was capable of Senior-level output but was operating at mid-level because he had not learned to initiate.</w:t>
            </w:r>
          </w:p>
        </w:tc>
      </w:tr>
      <w:tr>
        <w:tc>
          <w:tcPr>
            <w:tcW w:type="dxa" w:w="1600"/>
            <w:tcBorders>
              <w:top w:val="single" w:color="CED4E8" w:sz="1"/>
              <w:left w:val="single" w:color="CED4E8" w:sz="1"/>
              <w:bottom w:val="single" w:color="CED4E8" w:sz="1"/>
              <w:right w:val="single" w:color="CED4E8" w:sz="1"/>
            </w:tcBorders>
            <w:shd w:fill="E4F7F7" w:val="clear"/>
            <w:tcMar>
              <w:top w:type="dxa" w:w="80"/>
              <w:left w:type="dxa" w:w="120"/>
              <w:bottom w:type="dxa" w:w="80"/>
              <w:right w:type="dxa" w:w="120"/>
            </w:tcMar>
            <w:vAlign w:val="top"/>
          </w:tcPr>
          <w:p>
            <w:pPr>
              <w:spacing w:after="80" w:before="0"/>
              <w:jc w:val="left"/>
            </w:pPr>
            <w:r>
              <w:rPr>
                <w:rFonts w:ascii="Calibri" w:cs="Calibri" w:eastAsia="Calibri" w:hAnsi="Calibri"/>
                <w:b/>
                <w:bCs/>
                <w:i w:val="false"/>
                <w:iCs w:val="false"/>
                <w:caps w:val="false"/>
                <w:color w:val="0D8A8A"/>
                <w:sz w:val="19"/>
                <w:szCs w:val="19"/>
              </w:rPr>
              <w:t xml:space="preserve">T — Task</w:t>
            </w:r>
          </w:p>
        </w:tc>
        <w:tc>
          <w:tcPr>
            <w:tcW w:type="dxa" w:w="7760"/>
            <w:tcBorders>
              <w:top w:val="single" w:color="CED4E8" w:sz="1"/>
              <w:left w:val="single" w:color="CED4E8" w:sz="1"/>
              <w:bottom w:val="single" w:color="CED4E8" w:sz="1"/>
              <w:right w:val="single" w:color="CED4E8" w:sz="1"/>
            </w:tcBorders>
            <w:shd w:fill="F8F9FC" w:val="clear"/>
            <w:tcMar>
              <w:top w:type="dxa" w:w="80"/>
              <w:left w:type="dxa" w:w="160"/>
              <w:bottom w:type="dxa" w:w="80"/>
              <w:right w:type="dxa" w:w="120"/>
            </w:tcMar>
          </w:tcPr>
          <w:p>
            <w:pPr>
              <w:spacing w:after="80" w:before="0"/>
              <w:jc w:val="left"/>
            </w:pPr>
            <w:r>
              <w:rPr>
                <w:rFonts w:ascii="Calibri" w:cs="Calibri" w:eastAsia="Calibri" w:hAnsi="Calibri"/>
                <w:b w:val="false"/>
                <w:bCs w:val="false"/>
                <w:i w:val="false"/>
                <w:iCs w:val="false"/>
                <w:caps w:val="false"/>
                <w:color w:val="3A3A55"/>
                <w:sz w:val="21"/>
                <w:szCs w:val="21"/>
              </w:rPr>
              <w:t xml:space="preserve">I committed to a structured 4-month growth plan targeting the specific Senior-level behaviours he was missing: technical initiative, design ownership, and the ability to present architectural trade-offs to stakeholders.</w:t>
            </w:r>
          </w:p>
        </w:tc>
      </w:tr>
      <w:tr>
        <w:tc>
          <w:tcPr>
            <w:tcW w:type="dxa" w:w="1600"/>
            <w:tcBorders>
              <w:top w:val="single" w:color="CED4E8" w:sz="1"/>
              <w:left w:val="single" w:color="CED4E8" w:sz="1"/>
              <w:bottom w:val="single" w:color="CED4E8" w:sz="1"/>
              <w:right w:val="single" w:color="CED4E8" w:sz="1"/>
            </w:tcBorders>
            <w:shd w:fill="FEF5E4" w:val="clear"/>
            <w:tcMar>
              <w:top w:type="dxa" w:w="80"/>
              <w:left w:type="dxa" w:w="120"/>
              <w:bottom w:type="dxa" w:w="80"/>
              <w:right w:type="dxa" w:w="120"/>
            </w:tcMar>
            <w:vAlign w:val="top"/>
          </w:tcPr>
          <w:p>
            <w:pPr>
              <w:spacing w:after="80" w:before="0"/>
              <w:jc w:val="left"/>
            </w:pPr>
            <w:r>
              <w:rPr>
                <w:rFonts w:ascii="Calibri" w:cs="Calibri" w:eastAsia="Calibri" w:hAnsi="Calibri"/>
                <w:b/>
                <w:bCs/>
                <w:i w:val="false"/>
                <w:iCs w:val="false"/>
                <w:caps w:val="false"/>
                <w:color w:val="C07A1A"/>
                <w:sz w:val="19"/>
                <w:szCs w:val="19"/>
              </w:rPr>
              <w:t xml:space="preserve">A — Actions</w:t>
            </w:r>
          </w:p>
        </w:tc>
        <w:tc>
          <w:tcPr>
            <w:tcW w:type="dxa" w:w="7760"/>
            <w:tcBorders>
              <w:top w:val="single" w:color="CED4E8" w:sz="1"/>
              <w:left w:val="single" w:color="CED4E8" w:sz="1"/>
              <w:bottom w:val="single" w:color="CED4E8" w:sz="1"/>
              <w:right w:val="single" w:color="CED4E8" w:sz="1"/>
            </w:tcBorders>
            <w:shd w:fill="F8F9FC" w:val="clear"/>
            <w:tcMar>
              <w:top w:type="dxa" w:w="80"/>
              <w:left w:type="dxa" w:w="160"/>
              <w:bottom w:type="dxa" w:w="80"/>
              <w:right w:type="dxa" w:w="120"/>
            </w:tcMar>
          </w:tcPr>
          <w:p>
            <w:pPr>
              <w:spacing w:after="80" w:before="0"/>
              <w:jc w:val="left"/>
            </w:pPr>
            <w:r>
              <w:rPr>
                <w:rFonts w:ascii="Calibri" w:cs="Calibri" w:eastAsia="Calibri" w:hAnsi="Calibri"/>
                <w:b w:val="false"/>
                <w:bCs w:val="false"/>
                <w:i w:val="false"/>
                <w:iCs w:val="false"/>
                <w:caps w:val="false"/>
                <w:color w:val="3A3A55"/>
                <w:sz w:val="21"/>
                <w:szCs w:val="21"/>
              </w:rPr>
              <w:t xml:space="preserve">Month 1: I gave him a problem statement — 'Our shared component library has no theming system; here are the constraints' — and asked him to come back in a week with three possible approaches and a recommendation. I explicitly did not give him a solution. Month 2: He presented his recommendation to the team. I coached him beforehand on how to frame trade-offs for non-technical stakeholders. I asked him leading questions in the session to help him find his own answers rather than providing them. Month 3: I assigned him as the technical lead for integrating a new data source into one of the trading dashboards — a cross-team initiative. I attended the first two design meetings as an observer only. Month 4: I asked him to write the RFC for the integration and present it to the broader architecture group. I reviewed the draft and gave written feedback rather than rewriting it myself.</w:t>
            </w:r>
          </w:p>
        </w:tc>
      </w:tr>
      <w:tr>
        <w:tc>
          <w:tcPr>
            <w:tcW w:type="dxa" w:w="1600"/>
            <w:tcBorders>
              <w:top w:val="single" w:color="CED4E8" w:sz="1"/>
              <w:left w:val="single" w:color="CED4E8" w:sz="1"/>
              <w:bottom w:val="single" w:color="CED4E8" w:sz="1"/>
              <w:right w:val="single" w:color="CED4E8" w:sz="1"/>
            </w:tcBorders>
            <w:shd w:fill="E4F7ED" w:val="clear"/>
            <w:tcMar>
              <w:top w:type="dxa" w:w="80"/>
              <w:left w:type="dxa" w:w="120"/>
              <w:bottom w:type="dxa" w:w="80"/>
              <w:right w:type="dxa" w:w="120"/>
            </w:tcMar>
            <w:vAlign w:val="top"/>
          </w:tcPr>
          <w:p>
            <w:pPr>
              <w:spacing w:after="80" w:before="0"/>
              <w:jc w:val="left"/>
            </w:pPr>
            <w:r>
              <w:rPr>
                <w:rFonts w:ascii="Calibri" w:cs="Calibri" w:eastAsia="Calibri" w:hAnsi="Calibri"/>
                <w:b/>
                <w:bCs/>
                <w:i w:val="false"/>
                <w:iCs w:val="false"/>
                <w:caps w:val="false"/>
                <w:color w:val="1A7A42"/>
                <w:sz w:val="19"/>
                <w:szCs w:val="19"/>
              </w:rPr>
              <w:t xml:space="preserve">R — Result</w:t>
            </w:r>
          </w:p>
        </w:tc>
        <w:tc>
          <w:tcPr>
            <w:tcW w:type="dxa" w:w="7760"/>
            <w:tcBorders>
              <w:top w:val="single" w:color="CED4E8" w:sz="1"/>
              <w:left w:val="single" w:color="CED4E8" w:sz="1"/>
              <w:bottom w:val="single" w:color="CED4E8" w:sz="1"/>
              <w:right w:val="single" w:color="CED4E8" w:sz="1"/>
            </w:tcBorders>
            <w:shd w:fill="F8F9FC" w:val="clear"/>
            <w:tcMar>
              <w:top w:type="dxa" w:w="80"/>
              <w:left w:type="dxa" w:w="160"/>
              <w:bottom w:type="dxa" w:w="80"/>
              <w:right w:type="dxa" w:w="120"/>
            </w:tcMar>
          </w:tcPr>
          <w:p>
            <w:pPr>
              <w:spacing w:after="80" w:before="0"/>
              <w:jc w:val="left"/>
            </w:pPr>
            <w:r>
              <w:rPr>
                <w:rFonts w:ascii="Calibri" w:cs="Calibri" w:eastAsia="Calibri" w:hAnsi="Calibri"/>
                <w:b w:val="false"/>
                <w:bCs w:val="false"/>
                <w:i w:val="false"/>
                <w:iCs w:val="false"/>
                <w:caps w:val="false"/>
                <w:color w:val="3A3A55"/>
                <w:sz w:val="21"/>
                <w:szCs w:val="21"/>
              </w:rPr>
              <w:t xml:space="preserve">He was recognised as a Senior Engineer at the next performance cycle. The RFC he produced was adopted and is now the integration pattern used across three similar data source integrations. He subsequently mentored a junior engineer using the problem-statement approach I used with him — which is the clearest signal that genuine transfer happened.</w:t>
            </w:r>
          </w:p>
        </w:tc>
      </w:tr>
      <w:tr>
        <w:tc>
          <w:tcPr>
            <w:tcW w:type="dxa" w:w="1600"/>
            <w:tcBorders>
              <w:top w:val="single" w:color="CED4E8" w:sz="1"/>
              <w:left w:val="single" w:color="CED4E8" w:sz="1"/>
              <w:bottom w:val="single" w:color="CED4E8" w:sz="1"/>
              <w:right w:val="single" w:color="CED4E8" w:sz="1"/>
            </w:tcBorders>
            <w:shd w:fill="F0F3F6" w:val="clear"/>
            <w:tcMar>
              <w:top w:type="dxa" w:w="80"/>
              <w:left w:type="dxa" w:w="120"/>
              <w:bottom w:type="dxa" w:w="80"/>
              <w:right w:type="dxa" w:w="120"/>
            </w:tcMar>
            <w:vAlign w:val="top"/>
          </w:tcPr>
          <w:p>
            <w:pPr>
              <w:spacing w:after="80" w:before="0"/>
              <w:jc w:val="left"/>
            </w:pPr>
            <w:r>
              <w:rPr>
                <w:rFonts w:ascii="Calibri" w:cs="Calibri" w:eastAsia="Calibri" w:hAnsi="Calibri"/>
                <w:b/>
                <w:bCs/>
                <w:i w:val="false"/>
                <w:iCs w:val="false"/>
                <w:caps w:val="false"/>
                <w:color w:val="556070"/>
                <w:sz w:val="19"/>
                <w:szCs w:val="19"/>
              </w:rPr>
              <w:t xml:space="preserve">↺ — Reflect</w:t>
            </w:r>
          </w:p>
        </w:tc>
        <w:tc>
          <w:tcPr>
            <w:tcW w:type="dxa" w:w="7760"/>
            <w:tcBorders>
              <w:top w:val="single" w:color="CED4E8" w:sz="1"/>
              <w:left w:val="single" w:color="CED4E8" w:sz="1"/>
              <w:bottom w:val="single" w:color="CED4E8" w:sz="1"/>
              <w:right w:val="single" w:color="CED4E8" w:sz="1"/>
            </w:tcBorders>
            <w:shd w:fill="F8F9FC" w:val="clear"/>
            <w:tcMar>
              <w:top w:type="dxa" w:w="80"/>
              <w:left w:type="dxa" w:w="160"/>
              <w:bottom w:type="dxa" w:w="80"/>
              <w:right w:type="dxa" w:w="120"/>
            </w:tcMar>
          </w:tcPr>
          <w:p>
            <w:pPr>
              <w:spacing w:after="80" w:before="0"/>
              <w:jc w:val="left"/>
            </w:pPr>
            <w:r>
              <w:rPr>
                <w:rFonts w:ascii="Calibri" w:cs="Calibri" w:eastAsia="Calibri" w:hAnsi="Calibri"/>
                <w:b w:val="false"/>
                <w:bCs w:val="false"/>
                <w:i w:val="false"/>
                <w:iCs w:val="false"/>
                <w:caps w:val="false"/>
                <w:color w:val="3A3A55"/>
                <w:sz w:val="21"/>
                <w:szCs w:val="21"/>
              </w:rPr>
              <w:t xml:space="preserve">The hardest discipline was not fixing things when he struggled. My instinct as an architect is to unblock problems immediately. With mentorship, the struggle is the learning. I now make a deliberate rule for myself: when a mentee is working through a problem, I ask one question before I give any answer. Often the question is enough — they already know more than they think.</w:t>
            </w:r>
          </w:p>
        </w:tc>
      </w:tr>
    </w:tbl>
    <w:p>
      <w:pPr>
        <w:spacing w:after="45" w:before="45"/>
      </w:pPr>
      <w:r>
        <w:t xml:space="preserve"/>
      </w:r>
    </w:p>
    <w:p>
      <w:pPr>
        <w:spacing w:after="60" w:before="180"/>
      </w:pPr>
      <w:r>
        <w:rPr>
          <w:rFonts w:ascii="Calibri" w:cs="Calibri" w:eastAsia="Calibri" w:hAnsi="Calibri"/>
          <w:b/>
          <w:bCs/>
          <w:i w:val="false"/>
          <w:iCs w:val="false"/>
          <w:caps w:val="false"/>
          <w:color w:val="1B2A4A"/>
          <w:sz w:val="22"/>
          <w:szCs w:val="22"/>
        </w:rPr>
        <w:t xml:space="preserve">Questions This Story Answers</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'Tell me about a time you mentored an engineer. What was your approach?'</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'How do you help engineers grow beyond their current level?'</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'Describe a time you invested significantly in someone on your team.'</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'How do you identify and develop technical leadership potential?'</w:t>
      </w:r>
    </w:p>
    <w:p>
      <w:r>
        <w:br w:type="page"/>
      </w:r>
    </w:p>
    <w:p>
      <w:pPr>
        <w:pStyle w:val="Heading2"/>
        <w:shd w:fill="7A1A1A" w:val="clear"/>
        <w:spacing w:after="150" w:before="320"/>
        <w:ind w:left="200"/>
      </w:pPr>
      <w:r>
        <w:rPr>
          <w:rFonts w:ascii="Calibri" w:cs="Calibri" w:eastAsia="Calibri" w:hAnsi="Calibri"/>
          <w:b/>
          <w:bCs/>
          <w:i w:val="false"/>
          <w:iCs w:val="false"/>
          <w:caps w:val="false"/>
          <w:color w:val="FFFFFF"/>
          <w:sz w:val="28"/>
          <w:szCs w:val="28"/>
        </w:rPr>
        <w:t xml:space="preserve">Story 6 — Shipped Under an Impossible Deadline (Real-Time Trading Dashboard)</w:t>
      </w:r>
    </w:p>
    <w:p>
      <w:pPr>
        <w:spacing w:after="90" w:before="40"/>
        <w:jc w:val="left"/>
      </w:pPr>
      <w:r>
        <w:rPr>
          <w:rFonts w:ascii="Calibri" w:cs="Calibri" w:eastAsia="Calibri" w:hAnsi="Calibri"/>
          <w:b w:val="false"/>
          <w:bCs w:val="false"/>
          <w:i w:val="false"/>
          <w:iCs w:val="false"/>
          <w:caps w:val="false"/>
          <w:color w:val="3A3A55"/>
          <w:sz w:val="22"/>
          <w:szCs w:val="22"/>
        </w:rPr>
        <w:t xml:space="preserve">Primary use: 'Tell me about a time you shipped under extreme time pressure.' Your real-time market data work at Wells Fargo — building live trading dashboards with Solace messaging and real-time CMT yields — is your strongest deadline story. Trading systems have hard market-hours deadlines.</w:t>
      </w:r>
    </w:p>
    <w:p>
      <w:pPr>
        <w:spacing w:after="45" w:before="4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ED4E8" w:sz="1"/>
              <w:left w:val="single" w:color="CED4E8" w:sz="1"/>
              <w:bottom w:val="single" w:color="CED4E8" w:sz="1"/>
              <w:right w:val="single" w:color="CED4E8" w:sz="1"/>
            </w:tcBorders>
            <w:shd w:fill="F0EAFF" w:val="clear"/>
            <w:tcMar>
              <w:top w:type="dxa" w:w="80"/>
              <w:left w:type="dxa" w:w="120"/>
              <w:bottom w:type="dxa" w:w="80"/>
              <w:right w:type="dxa" w:w="120"/>
            </w:tcMar>
            <w:vAlign w:val="top"/>
          </w:tcPr>
          <w:p>
            <w:pPr>
              <w:spacing w:after="80" w:before="0"/>
              <w:jc w:val="left"/>
            </w:pPr>
            <w:r>
              <w:rPr>
                <w:rFonts w:ascii="Calibri" w:cs="Calibri" w:eastAsia="Calibri" w:hAnsi="Calibri"/>
                <w:b/>
                <w:bCs/>
                <w:i w:val="false"/>
                <w:iCs w:val="false"/>
                <w:caps w:val="false"/>
                <w:color w:val="6C4FCC"/>
                <w:sz w:val="19"/>
                <w:szCs w:val="19"/>
              </w:rPr>
              <w:t xml:space="preserve">S — Situation</w:t>
            </w:r>
          </w:p>
        </w:tc>
        <w:tc>
          <w:tcPr>
            <w:tcW w:type="dxa" w:w="7760"/>
            <w:tcBorders>
              <w:top w:val="single" w:color="CED4E8" w:sz="1"/>
              <w:left w:val="single" w:color="CED4E8" w:sz="1"/>
              <w:bottom w:val="single" w:color="CED4E8" w:sz="1"/>
              <w:right w:val="single" w:color="CED4E8" w:sz="1"/>
            </w:tcBorders>
            <w:shd w:fill="F8F9FC" w:val="clear"/>
            <w:tcMar>
              <w:top w:type="dxa" w:w="80"/>
              <w:left w:type="dxa" w:w="160"/>
              <w:bottom w:type="dxa" w:w="80"/>
              <w:right w:type="dxa" w:w="120"/>
            </w:tcMar>
          </w:tcPr>
          <w:p>
            <w:pPr>
              <w:spacing w:after="80" w:before="0"/>
              <w:jc w:val="left"/>
            </w:pPr>
            <w:r>
              <w:rPr>
                <w:rFonts w:ascii="Calibri" w:cs="Calibri" w:eastAsia="Calibri" w:hAnsi="Calibri"/>
                <w:b w:val="false"/>
                <w:bCs w:val="false"/>
                <w:i w:val="false"/>
                <w:iCs w:val="false"/>
                <w:caps w:val="false"/>
                <w:color w:val="3A3A55"/>
                <w:sz w:val="21"/>
                <w:szCs w:val="21"/>
              </w:rPr>
              <w:t xml:space="preserve">At Wells Fargo, the Real-Time CMT Yields dashboard and the Market Data Aggregator were on a hard deadline tied to a trading desk go-live date. Trading desks operate on market hours — the system had to be live before market open on a specific date or the trading team would have no visibility into CMT yield data for the full trading day. The deadline was set by market operations, not by engineering — it was not negotiable.</w:t>
            </w:r>
          </w:p>
        </w:tc>
      </w:tr>
      <w:tr>
        <w:tc>
          <w:tcPr>
            <w:tcW w:type="dxa" w:w="1600"/>
            <w:tcBorders>
              <w:top w:val="single" w:color="CED4E8" w:sz="1"/>
              <w:left w:val="single" w:color="CED4E8" w:sz="1"/>
              <w:bottom w:val="single" w:color="CED4E8" w:sz="1"/>
              <w:right w:val="single" w:color="CED4E8" w:sz="1"/>
            </w:tcBorders>
            <w:shd w:fill="E4F7F7" w:val="clear"/>
            <w:tcMar>
              <w:top w:type="dxa" w:w="80"/>
              <w:left w:type="dxa" w:w="120"/>
              <w:bottom w:type="dxa" w:w="80"/>
              <w:right w:type="dxa" w:w="120"/>
            </w:tcMar>
            <w:vAlign w:val="top"/>
          </w:tcPr>
          <w:p>
            <w:pPr>
              <w:spacing w:after="80" w:before="0"/>
              <w:jc w:val="left"/>
            </w:pPr>
            <w:r>
              <w:rPr>
                <w:rFonts w:ascii="Calibri" w:cs="Calibri" w:eastAsia="Calibri" w:hAnsi="Calibri"/>
                <w:b/>
                <w:bCs/>
                <w:i w:val="false"/>
                <w:iCs w:val="false"/>
                <w:caps w:val="false"/>
                <w:color w:val="0D8A8A"/>
                <w:sz w:val="19"/>
                <w:szCs w:val="19"/>
              </w:rPr>
              <w:t xml:space="preserve">T — Task</w:t>
            </w:r>
          </w:p>
        </w:tc>
        <w:tc>
          <w:tcPr>
            <w:tcW w:type="dxa" w:w="7760"/>
            <w:tcBorders>
              <w:top w:val="single" w:color="CED4E8" w:sz="1"/>
              <w:left w:val="single" w:color="CED4E8" w:sz="1"/>
              <w:bottom w:val="single" w:color="CED4E8" w:sz="1"/>
              <w:right w:val="single" w:color="CED4E8" w:sz="1"/>
            </w:tcBorders>
            <w:shd w:fill="F8F9FC" w:val="clear"/>
            <w:tcMar>
              <w:top w:type="dxa" w:w="80"/>
              <w:left w:type="dxa" w:w="160"/>
              <w:bottom w:type="dxa" w:w="80"/>
              <w:right w:type="dxa" w:w="120"/>
            </w:tcMar>
          </w:tcPr>
          <w:p>
            <w:pPr>
              <w:spacing w:after="80" w:before="0"/>
              <w:jc w:val="left"/>
            </w:pPr>
            <w:r>
              <w:rPr>
                <w:rFonts w:ascii="Calibri" w:cs="Calibri" w:eastAsia="Calibri" w:hAnsi="Calibri"/>
                <w:b w:val="false"/>
                <w:bCs w:val="false"/>
                <w:i w:val="false"/>
                <w:iCs w:val="false"/>
                <w:caps w:val="false"/>
                <w:color w:val="3A3A55"/>
                <w:sz w:val="21"/>
                <w:szCs w:val="21"/>
              </w:rPr>
              <w:t xml:space="preserve">I was the Lead UI Architect responsible for delivering the Angular frontend integrated with Solace messaging, DeepHaven data sources, and the NestJS API platform I had built. The frontend scope was larger than the time available if we built everything as originally planned.</w:t>
            </w:r>
          </w:p>
        </w:tc>
      </w:tr>
      <w:tr>
        <w:tc>
          <w:tcPr>
            <w:tcW w:type="dxa" w:w="1600"/>
            <w:tcBorders>
              <w:top w:val="single" w:color="CED4E8" w:sz="1"/>
              <w:left w:val="single" w:color="CED4E8" w:sz="1"/>
              <w:bottom w:val="single" w:color="CED4E8" w:sz="1"/>
              <w:right w:val="single" w:color="CED4E8" w:sz="1"/>
            </w:tcBorders>
            <w:shd w:fill="FEF5E4" w:val="clear"/>
            <w:tcMar>
              <w:top w:type="dxa" w:w="80"/>
              <w:left w:type="dxa" w:w="120"/>
              <w:bottom w:type="dxa" w:w="80"/>
              <w:right w:type="dxa" w:w="120"/>
            </w:tcMar>
            <w:vAlign w:val="top"/>
          </w:tcPr>
          <w:p>
            <w:pPr>
              <w:spacing w:after="80" w:before="0"/>
              <w:jc w:val="left"/>
            </w:pPr>
            <w:r>
              <w:rPr>
                <w:rFonts w:ascii="Calibri" w:cs="Calibri" w:eastAsia="Calibri" w:hAnsi="Calibri"/>
                <w:b/>
                <w:bCs/>
                <w:i w:val="false"/>
                <w:iCs w:val="false"/>
                <w:caps w:val="false"/>
                <w:color w:val="C07A1A"/>
                <w:sz w:val="19"/>
                <w:szCs w:val="19"/>
              </w:rPr>
              <w:t xml:space="preserve">A — Actions</w:t>
            </w:r>
          </w:p>
        </w:tc>
        <w:tc>
          <w:tcPr>
            <w:tcW w:type="dxa" w:w="7760"/>
            <w:tcBorders>
              <w:top w:val="single" w:color="CED4E8" w:sz="1"/>
              <w:left w:val="single" w:color="CED4E8" w:sz="1"/>
              <w:bottom w:val="single" w:color="CED4E8" w:sz="1"/>
              <w:right w:val="single" w:color="CED4E8" w:sz="1"/>
            </w:tcBorders>
            <w:shd w:fill="F8F9FC" w:val="clear"/>
            <w:tcMar>
              <w:top w:type="dxa" w:w="80"/>
              <w:left w:type="dxa" w:w="160"/>
              <w:bottom w:type="dxa" w:w="80"/>
              <w:right w:type="dxa" w:w="120"/>
            </w:tcMar>
          </w:tcPr>
          <w:p>
            <w:pPr>
              <w:spacing w:after="80" w:before="0"/>
              <w:jc w:val="left"/>
            </w:pPr>
            <w:r>
              <w:rPr>
                <w:rFonts w:ascii="Calibri" w:cs="Calibri" w:eastAsia="Calibri" w:hAnsi="Calibri"/>
                <w:b w:val="false"/>
                <w:bCs w:val="false"/>
                <w:i w:val="false"/>
                <w:iCs w:val="false"/>
                <w:caps w:val="false"/>
                <w:color w:val="3A3A55"/>
                <w:sz w:val="21"/>
                <w:szCs w:val="21"/>
              </w:rPr>
              <w:t xml:space="preserve">I ran an immediate scope triage with the product owner. I created two lists: 'must be live at market open' (live yield curves, real-time updates via Solace, authentication via Apigee) and 'can ship in sprint 2' (export functionality, advanced filtering, chart customisation). I got explicit sign-off on this scope reduction in writing. I then restructured the team's work: I personally owned the Solace WebSocket integration and the real-time data pipeline — the highest-risk, most complex piece — so that the two frontend engineers could focus on the yield curve visualisation components without being blocked on me. I ran daily stand-ups at 9am specifically to surface blockers before they cost a full day. I communicated status to the trading desk product owner every day at 4pm: 'Here is what is done, here is what remains, here is what the risk is.' No surprises.</w:t>
            </w:r>
          </w:p>
        </w:tc>
      </w:tr>
      <w:tr>
        <w:tc>
          <w:tcPr>
            <w:tcW w:type="dxa" w:w="1600"/>
            <w:tcBorders>
              <w:top w:val="single" w:color="CED4E8" w:sz="1"/>
              <w:left w:val="single" w:color="CED4E8" w:sz="1"/>
              <w:bottom w:val="single" w:color="CED4E8" w:sz="1"/>
              <w:right w:val="single" w:color="CED4E8" w:sz="1"/>
            </w:tcBorders>
            <w:shd w:fill="E4F7ED" w:val="clear"/>
            <w:tcMar>
              <w:top w:type="dxa" w:w="80"/>
              <w:left w:type="dxa" w:w="120"/>
              <w:bottom w:type="dxa" w:w="80"/>
              <w:right w:type="dxa" w:w="120"/>
            </w:tcMar>
            <w:vAlign w:val="top"/>
          </w:tcPr>
          <w:p>
            <w:pPr>
              <w:spacing w:after="80" w:before="0"/>
              <w:jc w:val="left"/>
            </w:pPr>
            <w:r>
              <w:rPr>
                <w:rFonts w:ascii="Calibri" w:cs="Calibri" w:eastAsia="Calibri" w:hAnsi="Calibri"/>
                <w:b/>
                <w:bCs/>
                <w:i w:val="false"/>
                <w:iCs w:val="false"/>
                <w:caps w:val="false"/>
                <w:color w:val="1A7A42"/>
                <w:sz w:val="19"/>
                <w:szCs w:val="19"/>
              </w:rPr>
              <w:t xml:space="preserve">R — Result</w:t>
            </w:r>
          </w:p>
        </w:tc>
        <w:tc>
          <w:tcPr>
            <w:tcW w:type="dxa" w:w="7760"/>
            <w:tcBorders>
              <w:top w:val="single" w:color="CED4E8" w:sz="1"/>
              <w:left w:val="single" w:color="CED4E8" w:sz="1"/>
              <w:bottom w:val="single" w:color="CED4E8" w:sz="1"/>
              <w:right w:val="single" w:color="CED4E8" w:sz="1"/>
            </w:tcBorders>
            <w:shd w:fill="F8F9FC" w:val="clear"/>
            <w:tcMar>
              <w:top w:type="dxa" w:w="80"/>
              <w:left w:type="dxa" w:w="160"/>
              <w:bottom w:type="dxa" w:w="80"/>
              <w:right w:type="dxa" w:w="120"/>
            </w:tcMar>
          </w:tcPr>
          <w:p>
            <w:pPr>
              <w:spacing w:after="80" w:before="0"/>
              <w:jc w:val="left"/>
            </w:pPr>
            <w:r>
              <w:rPr>
                <w:rFonts w:ascii="Calibri" w:cs="Calibri" w:eastAsia="Calibri" w:hAnsi="Calibri"/>
                <w:b w:val="false"/>
                <w:bCs w:val="false"/>
                <w:i w:val="false"/>
                <w:iCs w:val="false"/>
                <w:caps w:val="false"/>
                <w:color w:val="3A3A55"/>
                <w:sz w:val="21"/>
                <w:szCs w:val="21"/>
              </w:rPr>
              <w:t xml:space="preserve">The dashboard went live before market open on the committed date. The trading desk had full CMT yield visibility on day one. The sprint 2 scope shipped two weeks later without incident. The trading desk lead cited the daily 4pm updates as the reason they trusted the delivery — they always knew exactly where we stood.</w:t>
            </w:r>
          </w:p>
        </w:tc>
      </w:tr>
      <w:tr>
        <w:tc>
          <w:tcPr>
            <w:tcW w:type="dxa" w:w="1600"/>
            <w:tcBorders>
              <w:top w:val="single" w:color="CED4E8" w:sz="1"/>
              <w:left w:val="single" w:color="CED4E8" w:sz="1"/>
              <w:bottom w:val="single" w:color="CED4E8" w:sz="1"/>
              <w:right w:val="single" w:color="CED4E8" w:sz="1"/>
            </w:tcBorders>
            <w:shd w:fill="F0F3F6" w:val="clear"/>
            <w:tcMar>
              <w:top w:type="dxa" w:w="80"/>
              <w:left w:type="dxa" w:w="120"/>
              <w:bottom w:type="dxa" w:w="80"/>
              <w:right w:type="dxa" w:w="120"/>
            </w:tcMar>
            <w:vAlign w:val="top"/>
          </w:tcPr>
          <w:p>
            <w:pPr>
              <w:spacing w:after="80" w:before="0"/>
              <w:jc w:val="left"/>
            </w:pPr>
            <w:r>
              <w:rPr>
                <w:rFonts w:ascii="Calibri" w:cs="Calibri" w:eastAsia="Calibri" w:hAnsi="Calibri"/>
                <w:b/>
                <w:bCs/>
                <w:i w:val="false"/>
                <w:iCs w:val="false"/>
                <w:caps w:val="false"/>
                <w:color w:val="556070"/>
                <w:sz w:val="19"/>
                <w:szCs w:val="19"/>
              </w:rPr>
              <w:t xml:space="preserve">↺ — Reflect</w:t>
            </w:r>
          </w:p>
        </w:tc>
        <w:tc>
          <w:tcPr>
            <w:tcW w:type="dxa" w:w="7760"/>
            <w:tcBorders>
              <w:top w:val="single" w:color="CED4E8" w:sz="1"/>
              <w:left w:val="single" w:color="CED4E8" w:sz="1"/>
              <w:bottom w:val="single" w:color="CED4E8" w:sz="1"/>
              <w:right w:val="single" w:color="CED4E8" w:sz="1"/>
            </w:tcBorders>
            <w:shd w:fill="F8F9FC" w:val="clear"/>
            <w:tcMar>
              <w:top w:type="dxa" w:w="80"/>
              <w:left w:type="dxa" w:w="160"/>
              <w:bottom w:type="dxa" w:w="80"/>
              <w:right w:type="dxa" w:w="120"/>
            </w:tcMar>
          </w:tcPr>
          <w:p>
            <w:pPr>
              <w:spacing w:after="80" w:before="0"/>
              <w:jc w:val="left"/>
            </w:pPr>
            <w:r>
              <w:rPr>
                <w:rFonts w:ascii="Calibri" w:cs="Calibri" w:eastAsia="Calibri" w:hAnsi="Calibri"/>
                <w:b w:val="false"/>
                <w:bCs w:val="false"/>
                <w:i w:val="false"/>
                <w:iCs w:val="false"/>
                <w:caps w:val="false"/>
                <w:color w:val="3A3A55"/>
                <w:sz w:val="21"/>
                <w:szCs w:val="21"/>
              </w:rPr>
              <w:t xml:space="preserve">Daily written status updates to non-technical stakeholders during a crunch are worth more than any amount of engineering effort. One 5-minute email per day eliminates the anxiety-driven check-ins that interrupt engineers and erode focus. I now make stakeholder communication rhythm the first thing I set up on any high-stakes delivery — not an afterthought.</w:t>
            </w:r>
          </w:p>
        </w:tc>
      </w:tr>
    </w:tbl>
    <w:p>
      <w:pPr>
        <w:spacing w:after="45" w:before="45"/>
      </w:pPr>
      <w:r>
        <w:t xml:space="preserve"/>
      </w:r>
    </w:p>
    <w:p>
      <w:pPr>
        <w:spacing w:after="60" w:before="180"/>
      </w:pPr>
      <w:r>
        <w:rPr>
          <w:rFonts w:ascii="Calibri" w:cs="Calibri" w:eastAsia="Calibri" w:hAnsi="Calibri"/>
          <w:b/>
          <w:bCs/>
          <w:i w:val="false"/>
          <w:iCs w:val="false"/>
          <w:caps w:val="false"/>
          <w:color w:val="1B2A4A"/>
          <w:sz w:val="22"/>
          <w:szCs w:val="22"/>
        </w:rPr>
        <w:t xml:space="preserve">Questions This Story Answers</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'Tell me about a time you shipped under extreme time pressure.'</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'Describe a time you had to make hard scope trade-offs under a hard deadline.'</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'How do you keep stakeholders informed on a high-pressure delivery?'</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'Tell me about a time you led a team through a crunch.'</w:t>
      </w:r>
    </w:p>
    <w:p>
      <w:r>
        <w:br w:type="page"/>
      </w:r>
    </w:p>
    <w:p>
      <w:pPr>
        <w:pStyle w:val="Heading2"/>
        <w:shd w:fill="556070" w:val="clear"/>
        <w:spacing w:after="150" w:before="320"/>
        <w:ind w:left="200"/>
      </w:pPr>
      <w:r>
        <w:rPr>
          <w:rFonts w:ascii="Calibri" w:cs="Calibri" w:eastAsia="Calibri" w:hAnsi="Calibri"/>
          <w:b/>
          <w:bCs/>
          <w:i w:val="false"/>
          <w:iCs w:val="false"/>
          <w:caps w:val="false"/>
          <w:color w:val="FFFFFF"/>
          <w:sz w:val="28"/>
          <w:szCs w:val="28"/>
        </w:rPr>
        <w:t xml:space="preserve">Story 7 — Resolved Major Technical Debt Strategically (Legacy .NET to Angular)</w:t>
      </w:r>
    </w:p>
    <w:p>
      <w:pPr>
        <w:spacing w:after="90" w:before="40"/>
        <w:jc w:val="left"/>
      </w:pPr>
      <w:r>
        <w:rPr>
          <w:rFonts w:ascii="Calibri" w:cs="Calibri" w:eastAsia="Calibri" w:hAnsi="Calibri"/>
          <w:b w:val="false"/>
          <w:bCs w:val="false"/>
          <w:i w:val="false"/>
          <w:iCs w:val="false"/>
          <w:caps w:val="false"/>
          <w:color w:val="3A3A55"/>
          <w:sz w:val="22"/>
          <w:szCs w:val="22"/>
        </w:rPr>
        <w:t xml:space="preserve">Primary use: 'How do you handle technical debt at scale?' Your re-engineering of legacy .NET UIs into Angular 21 micro-frontend applications at Wells Fargo is the definitive technical debt story. Seven platforms. Legacy desktop architecture. Full modernisation without trading desk disruption.</w:t>
      </w:r>
    </w:p>
    <w:p>
      <w:pPr>
        <w:spacing w:after="45" w:before="4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ED4E8" w:sz="1"/>
              <w:left w:val="single" w:color="CED4E8" w:sz="1"/>
              <w:bottom w:val="single" w:color="CED4E8" w:sz="1"/>
              <w:right w:val="single" w:color="CED4E8" w:sz="1"/>
            </w:tcBorders>
            <w:shd w:fill="F0EAFF" w:val="clear"/>
            <w:tcMar>
              <w:top w:type="dxa" w:w="80"/>
              <w:left w:type="dxa" w:w="120"/>
              <w:bottom w:type="dxa" w:w="80"/>
              <w:right w:type="dxa" w:w="120"/>
            </w:tcMar>
            <w:vAlign w:val="top"/>
          </w:tcPr>
          <w:p>
            <w:pPr>
              <w:spacing w:after="80" w:before="0"/>
              <w:jc w:val="left"/>
            </w:pPr>
            <w:r>
              <w:rPr>
                <w:rFonts w:ascii="Calibri" w:cs="Calibri" w:eastAsia="Calibri" w:hAnsi="Calibri"/>
                <w:b/>
                <w:bCs/>
                <w:i w:val="false"/>
                <w:iCs w:val="false"/>
                <w:caps w:val="false"/>
                <w:color w:val="6C4FCC"/>
                <w:sz w:val="19"/>
                <w:szCs w:val="19"/>
              </w:rPr>
              <w:t xml:space="preserve">S — Situation</w:t>
            </w:r>
          </w:p>
        </w:tc>
        <w:tc>
          <w:tcPr>
            <w:tcW w:type="dxa" w:w="7760"/>
            <w:tcBorders>
              <w:top w:val="single" w:color="CED4E8" w:sz="1"/>
              <w:left w:val="single" w:color="CED4E8" w:sz="1"/>
              <w:bottom w:val="single" w:color="CED4E8" w:sz="1"/>
              <w:right w:val="single" w:color="CED4E8" w:sz="1"/>
            </w:tcBorders>
            <w:shd w:fill="F8F9FC" w:val="clear"/>
            <w:tcMar>
              <w:top w:type="dxa" w:w="80"/>
              <w:left w:type="dxa" w:w="160"/>
              <w:bottom w:type="dxa" w:w="80"/>
              <w:right w:type="dxa" w:w="120"/>
            </w:tcMar>
          </w:tcPr>
          <w:p>
            <w:pPr>
              <w:spacing w:after="80" w:before="0"/>
              <w:jc w:val="left"/>
            </w:pPr>
            <w:r>
              <w:rPr>
                <w:rFonts w:ascii="Calibri" w:cs="Calibri" w:eastAsia="Calibri" w:hAnsi="Calibri"/>
                <w:b w:val="false"/>
                <w:bCs w:val="false"/>
                <w:i w:val="false"/>
                <w:iCs w:val="false"/>
                <w:caps w:val="false"/>
                <w:color w:val="3A3A55"/>
                <w:sz w:val="21"/>
                <w:szCs w:val="21"/>
              </w:rPr>
              <w:t xml:space="preserve">At Wells Fargo, 7+ fixed income trading platforms were running as .NET desktop applications deployed via OpenFin. They had no shared component model, no modern browser-based deployment, no CI/CD, and were increasingly difficult to maintain as .NET talent became scarce. The trading desk depended on these applications for live market operations — any modernisation work had to happen without disrupting trading workflows.</w:t>
            </w:r>
          </w:p>
        </w:tc>
      </w:tr>
      <w:tr>
        <w:tc>
          <w:tcPr>
            <w:tcW w:type="dxa" w:w="1600"/>
            <w:tcBorders>
              <w:top w:val="single" w:color="CED4E8" w:sz="1"/>
              <w:left w:val="single" w:color="CED4E8" w:sz="1"/>
              <w:bottom w:val="single" w:color="CED4E8" w:sz="1"/>
              <w:right w:val="single" w:color="CED4E8" w:sz="1"/>
            </w:tcBorders>
            <w:shd w:fill="E4F7F7" w:val="clear"/>
            <w:tcMar>
              <w:top w:type="dxa" w:w="80"/>
              <w:left w:type="dxa" w:w="120"/>
              <w:bottom w:type="dxa" w:w="80"/>
              <w:right w:type="dxa" w:w="120"/>
            </w:tcMar>
            <w:vAlign w:val="top"/>
          </w:tcPr>
          <w:p>
            <w:pPr>
              <w:spacing w:after="80" w:before="0"/>
              <w:jc w:val="left"/>
            </w:pPr>
            <w:r>
              <w:rPr>
                <w:rFonts w:ascii="Calibri" w:cs="Calibri" w:eastAsia="Calibri" w:hAnsi="Calibri"/>
                <w:b/>
                <w:bCs/>
                <w:i w:val="false"/>
                <w:iCs w:val="false"/>
                <w:caps w:val="false"/>
                <w:color w:val="0D8A8A"/>
                <w:sz w:val="19"/>
                <w:szCs w:val="19"/>
              </w:rPr>
              <w:t xml:space="preserve">T — Task</w:t>
            </w:r>
          </w:p>
        </w:tc>
        <w:tc>
          <w:tcPr>
            <w:tcW w:type="dxa" w:w="7760"/>
            <w:tcBorders>
              <w:top w:val="single" w:color="CED4E8" w:sz="1"/>
              <w:left w:val="single" w:color="CED4E8" w:sz="1"/>
              <w:bottom w:val="single" w:color="CED4E8" w:sz="1"/>
              <w:right w:val="single" w:color="CED4E8" w:sz="1"/>
            </w:tcBorders>
            <w:shd w:fill="F8F9FC" w:val="clear"/>
            <w:tcMar>
              <w:top w:type="dxa" w:w="80"/>
              <w:left w:type="dxa" w:w="160"/>
              <w:bottom w:type="dxa" w:w="80"/>
              <w:right w:type="dxa" w:w="120"/>
            </w:tcMar>
          </w:tcPr>
          <w:p>
            <w:pPr>
              <w:spacing w:after="80" w:before="0"/>
              <w:jc w:val="left"/>
            </w:pPr>
            <w:r>
              <w:rPr>
                <w:rFonts w:ascii="Calibri" w:cs="Calibri" w:eastAsia="Calibri" w:hAnsi="Calibri"/>
                <w:b w:val="false"/>
                <w:bCs w:val="false"/>
                <w:i w:val="false"/>
                <w:iCs w:val="false"/>
                <w:caps w:val="false"/>
                <w:color w:val="3A3A55"/>
                <w:sz w:val="21"/>
                <w:szCs w:val="21"/>
              </w:rPr>
              <w:t xml:space="preserve">I was responsible for the architectural strategy to transform these legacy .NET desktop applications into modern Angular web applications deployed via OpenFin, using a micro-frontend architecture on Nx Workspace and Module Federation. This was a multi-year initiative that had to be phased to keep trading operations live throughout.</w:t>
            </w:r>
          </w:p>
        </w:tc>
      </w:tr>
      <w:tr>
        <w:tc>
          <w:tcPr>
            <w:tcW w:type="dxa" w:w="1600"/>
            <w:tcBorders>
              <w:top w:val="single" w:color="CED4E8" w:sz="1"/>
              <w:left w:val="single" w:color="CED4E8" w:sz="1"/>
              <w:bottom w:val="single" w:color="CED4E8" w:sz="1"/>
              <w:right w:val="single" w:color="CED4E8" w:sz="1"/>
            </w:tcBorders>
            <w:shd w:fill="FEF5E4" w:val="clear"/>
            <w:tcMar>
              <w:top w:type="dxa" w:w="80"/>
              <w:left w:type="dxa" w:w="120"/>
              <w:bottom w:type="dxa" w:w="80"/>
              <w:right w:type="dxa" w:w="120"/>
            </w:tcMar>
            <w:vAlign w:val="top"/>
          </w:tcPr>
          <w:p>
            <w:pPr>
              <w:spacing w:after="80" w:before="0"/>
              <w:jc w:val="left"/>
            </w:pPr>
            <w:r>
              <w:rPr>
                <w:rFonts w:ascii="Calibri" w:cs="Calibri" w:eastAsia="Calibri" w:hAnsi="Calibri"/>
                <w:b/>
                <w:bCs/>
                <w:i w:val="false"/>
                <w:iCs w:val="false"/>
                <w:caps w:val="false"/>
                <w:color w:val="C07A1A"/>
                <w:sz w:val="19"/>
                <w:szCs w:val="19"/>
              </w:rPr>
              <w:t xml:space="preserve">A — Actions</w:t>
            </w:r>
          </w:p>
        </w:tc>
        <w:tc>
          <w:tcPr>
            <w:tcW w:type="dxa" w:w="7760"/>
            <w:tcBorders>
              <w:top w:val="single" w:color="CED4E8" w:sz="1"/>
              <w:left w:val="single" w:color="CED4E8" w:sz="1"/>
              <w:bottom w:val="single" w:color="CED4E8" w:sz="1"/>
              <w:right w:val="single" w:color="CED4E8" w:sz="1"/>
            </w:tcBorders>
            <w:shd w:fill="F8F9FC" w:val="clear"/>
            <w:tcMar>
              <w:top w:type="dxa" w:w="80"/>
              <w:left w:type="dxa" w:w="160"/>
              <w:bottom w:type="dxa" w:w="80"/>
              <w:right w:type="dxa" w:w="120"/>
            </w:tcMar>
          </w:tcPr>
          <w:p>
            <w:pPr>
              <w:spacing w:after="80" w:before="0"/>
              <w:jc w:val="left"/>
            </w:pPr>
            <w:r>
              <w:rPr>
                <w:rFonts w:ascii="Calibri" w:cs="Calibri" w:eastAsia="Calibri" w:hAnsi="Calibri"/>
                <w:b w:val="false"/>
                <w:bCs w:val="false"/>
                <w:i w:val="false"/>
                <w:iCs w:val="false"/>
                <w:caps w:val="false"/>
                <w:color w:val="3A3A55"/>
                <w:sz w:val="21"/>
                <w:szCs w:val="21"/>
              </w:rPr>
              <w:t xml:space="preserve">I started with a thorough dependency and risk audit before writing a line of code. I categorised all 7 platforms by: (a) complexity of .NET-specific functionality, (b) frequency of active trading use, (c) team ownership and capacity, and (d) shared component opportunities. I designed a migration sequence that started with the lowest-risk platform — the Coverage Dashboard, which had lower trading-hours sensitivity — to prove the Angular + OpenFin + Module Federation pattern before applying it to higher-risk platforms like the Treasury Risk Viewer. Each migration used the same reusable framework I had built (authentication via Apigee, shared UI library, Nx Workspace configuration). By migration 3, teams could follow the pattern with minimal hand-holding from me. I ensured every migrated application had feature parity with its .NET predecessor before decommission.</w:t>
            </w:r>
          </w:p>
        </w:tc>
      </w:tr>
      <w:tr>
        <w:tc>
          <w:tcPr>
            <w:tcW w:type="dxa" w:w="1600"/>
            <w:tcBorders>
              <w:top w:val="single" w:color="CED4E8" w:sz="1"/>
              <w:left w:val="single" w:color="CED4E8" w:sz="1"/>
              <w:bottom w:val="single" w:color="CED4E8" w:sz="1"/>
              <w:right w:val="single" w:color="CED4E8" w:sz="1"/>
            </w:tcBorders>
            <w:shd w:fill="E4F7ED" w:val="clear"/>
            <w:tcMar>
              <w:top w:type="dxa" w:w="80"/>
              <w:left w:type="dxa" w:w="120"/>
              <w:bottom w:type="dxa" w:w="80"/>
              <w:right w:type="dxa" w:w="120"/>
            </w:tcMar>
            <w:vAlign w:val="top"/>
          </w:tcPr>
          <w:p>
            <w:pPr>
              <w:spacing w:after="80" w:before="0"/>
              <w:jc w:val="left"/>
            </w:pPr>
            <w:r>
              <w:rPr>
                <w:rFonts w:ascii="Calibri" w:cs="Calibri" w:eastAsia="Calibri" w:hAnsi="Calibri"/>
                <w:b/>
                <w:bCs/>
                <w:i w:val="false"/>
                <w:iCs w:val="false"/>
                <w:caps w:val="false"/>
                <w:color w:val="1A7A42"/>
                <w:sz w:val="19"/>
                <w:szCs w:val="19"/>
              </w:rPr>
              <w:t xml:space="preserve">R — Result</w:t>
            </w:r>
          </w:p>
        </w:tc>
        <w:tc>
          <w:tcPr>
            <w:tcW w:type="dxa" w:w="7760"/>
            <w:tcBorders>
              <w:top w:val="single" w:color="CED4E8" w:sz="1"/>
              <w:left w:val="single" w:color="CED4E8" w:sz="1"/>
              <w:bottom w:val="single" w:color="CED4E8" w:sz="1"/>
              <w:right w:val="single" w:color="CED4E8" w:sz="1"/>
            </w:tcBorders>
            <w:shd w:fill="F8F9FC" w:val="clear"/>
            <w:tcMar>
              <w:top w:type="dxa" w:w="80"/>
              <w:left w:type="dxa" w:w="160"/>
              <w:bottom w:type="dxa" w:w="80"/>
              <w:right w:type="dxa" w:w="120"/>
            </w:tcMar>
          </w:tcPr>
          <w:p>
            <w:pPr>
              <w:spacing w:after="80" w:before="0"/>
              <w:jc w:val="left"/>
            </w:pPr>
            <w:r>
              <w:rPr>
                <w:rFonts w:ascii="Calibri" w:cs="Calibri" w:eastAsia="Calibri" w:hAnsi="Calibri"/>
                <w:b w:val="false"/>
                <w:bCs w:val="false"/>
                <w:i w:val="false"/>
                <w:iCs w:val="false"/>
                <w:caps w:val="false"/>
                <w:color w:val="3A3A55"/>
                <w:sz w:val="21"/>
                <w:szCs w:val="21"/>
              </w:rPr>
              <w:t xml:space="preserve">All 7+ trading platforms successfully migrated from .NET desktop to Angular 21 web applications deployed via OpenFin. Independent deployments via Module Federation became the standard. The shared component library reduced duplication across teams. The NestJS API platform I built to serve treasury data (bonds, yield curves, repo rates, relative value analytics) now serves multiple downstream applications that previously accessed fragmented data sources.</w:t>
            </w:r>
          </w:p>
        </w:tc>
      </w:tr>
      <w:tr>
        <w:tc>
          <w:tcPr>
            <w:tcW w:type="dxa" w:w="1600"/>
            <w:tcBorders>
              <w:top w:val="single" w:color="CED4E8" w:sz="1"/>
              <w:left w:val="single" w:color="CED4E8" w:sz="1"/>
              <w:bottom w:val="single" w:color="CED4E8" w:sz="1"/>
              <w:right w:val="single" w:color="CED4E8" w:sz="1"/>
            </w:tcBorders>
            <w:shd w:fill="F0F3F6" w:val="clear"/>
            <w:tcMar>
              <w:top w:type="dxa" w:w="80"/>
              <w:left w:type="dxa" w:w="120"/>
              <w:bottom w:type="dxa" w:w="80"/>
              <w:right w:type="dxa" w:w="120"/>
            </w:tcMar>
            <w:vAlign w:val="top"/>
          </w:tcPr>
          <w:p>
            <w:pPr>
              <w:spacing w:after="80" w:before="0"/>
              <w:jc w:val="left"/>
            </w:pPr>
            <w:r>
              <w:rPr>
                <w:rFonts w:ascii="Calibri" w:cs="Calibri" w:eastAsia="Calibri" w:hAnsi="Calibri"/>
                <w:b/>
                <w:bCs/>
                <w:i w:val="false"/>
                <w:iCs w:val="false"/>
                <w:caps w:val="false"/>
                <w:color w:val="556070"/>
                <w:sz w:val="19"/>
                <w:szCs w:val="19"/>
              </w:rPr>
              <w:t xml:space="preserve">↺ — Reflect</w:t>
            </w:r>
          </w:p>
        </w:tc>
        <w:tc>
          <w:tcPr>
            <w:tcW w:type="dxa" w:w="7760"/>
            <w:tcBorders>
              <w:top w:val="single" w:color="CED4E8" w:sz="1"/>
              <w:left w:val="single" w:color="CED4E8" w:sz="1"/>
              <w:bottom w:val="single" w:color="CED4E8" w:sz="1"/>
              <w:right w:val="single" w:color="CED4E8" w:sz="1"/>
            </w:tcBorders>
            <w:shd w:fill="F8F9FC" w:val="clear"/>
            <w:tcMar>
              <w:top w:type="dxa" w:w="80"/>
              <w:left w:type="dxa" w:w="160"/>
              <w:bottom w:type="dxa" w:w="80"/>
              <w:right w:type="dxa" w:w="120"/>
            </w:tcMar>
          </w:tcPr>
          <w:p>
            <w:pPr>
              <w:spacing w:after="80" w:before="0"/>
              <w:jc w:val="left"/>
            </w:pPr>
            <w:r>
              <w:rPr>
                <w:rFonts w:ascii="Calibri" w:cs="Calibri" w:eastAsia="Calibri" w:hAnsi="Calibri"/>
                <w:b w:val="false"/>
                <w:bCs w:val="false"/>
                <w:i w:val="false"/>
                <w:iCs w:val="false"/>
                <w:caps w:val="false"/>
                <w:color w:val="3A3A55"/>
                <w:sz w:val="21"/>
                <w:szCs w:val="21"/>
              </w:rPr>
              <w:t xml:space="preserve">Sequencing a large migration by risk, not by ease, is the most important thing I learned. My natural instinct was to do the most technically interesting migration first. The right answer was to do the lowest-risk migration first to validate the pattern, build team confidence, and identify the real surprises in a low-consequence environment. Every subsequent migration was faster because we had resolved the real unknowns on the first one.</w:t>
            </w:r>
          </w:p>
        </w:tc>
      </w:tr>
    </w:tbl>
    <w:p>
      <w:pPr>
        <w:spacing w:after="45" w:before="45"/>
      </w:pPr>
      <w:r>
        <w:t xml:space="preserve"/>
      </w:r>
    </w:p>
    <w:p>
      <w:pPr>
        <w:spacing w:after="60" w:before="180"/>
      </w:pPr>
      <w:r>
        <w:rPr>
          <w:rFonts w:ascii="Calibri" w:cs="Calibri" w:eastAsia="Calibri" w:hAnsi="Calibri"/>
          <w:b/>
          <w:bCs/>
          <w:i w:val="false"/>
          <w:iCs w:val="false"/>
          <w:caps w:val="false"/>
          <w:color w:val="1B2A4A"/>
          <w:sz w:val="22"/>
          <w:szCs w:val="22"/>
        </w:rPr>
        <w:t xml:space="preserve">Questions This Story Answers</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'How do you handle large-scale technical debt?'</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'Tell me about a legacy modernisation you led. How did you manage risk?'</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'How do you make the business case for technical investment?'</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'Describe a successful refactor at scale. What was your sequencing strategy?'</w:t>
      </w:r>
    </w:p>
    <w:p>
      <w:r>
        <w:br w:type="page"/>
      </w:r>
    </w:p>
    <w:p>
      <w:pPr>
        <w:pStyle w:val="Heading2"/>
        <w:shd w:fill="5C3D99" w:val="clear"/>
        <w:spacing w:after="150" w:before="320"/>
        <w:ind w:left="200"/>
      </w:pPr>
      <w:r>
        <w:rPr>
          <w:rFonts w:ascii="Calibri" w:cs="Calibri" w:eastAsia="Calibri" w:hAnsi="Calibri"/>
          <w:b/>
          <w:bCs/>
          <w:i w:val="false"/>
          <w:iCs w:val="false"/>
          <w:caps w:val="false"/>
          <w:color w:val="FFFFFF"/>
          <w:sz w:val="28"/>
          <w:szCs w:val="28"/>
        </w:rPr>
        <w:t xml:space="preserve">Story 8 — Drove Cross-Team Technical Alignment (Shared Standards, Wells Fargo)</w:t>
      </w:r>
    </w:p>
    <w:p>
      <w:pPr>
        <w:spacing w:after="90" w:before="40"/>
        <w:jc w:val="left"/>
      </w:pPr>
      <w:r>
        <w:rPr>
          <w:rFonts w:ascii="Calibri" w:cs="Calibri" w:eastAsia="Calibri" w:hAnsi="Calibri"/>
          <w:b w:val="false"/>
          <w:bCs w:val="false"/>
          <w:i w:val="false"/>
          <w:iCs w:val="false"/>
          <w:caps w:val="false"/>
          <w:color w:val="3A3A55"/>
          <w:sz w:val="22"/>
          <w:szCs w:val="22"/>
        </w:rPr>
        <w:t xml:space="preserve">Primary use: 'How do you drive technical standards across multiple teams?' Your establishment of 'shared architectural standards, reusable framework libraries, and engineering best practices adopted across teams' at Wells Fargo is the exact story. Add specifics on what those standards were and how adoption happened.</w:t>
      </w:r>
    </w:p>
    <w:p>
      <w:pPr>
        <w:spacing w:after="45" w:before="4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ED4E8" w:sz="1"/>
              <w:left w:val="single" w:color="CED4E8" w:sz="1"/>
              <w:bottom w:val="single" w:color="CED4E8" w:sz="1"/>
              <w:right w:val="single" w:color="CED4E8" w:sz="1"/>
            </w:tcBorders>
            <w:shd w:fill="F0EAFF" w:val="clear"/>
            <w:tcMar>
              <w:top w:type="dxa" w:w="80"/>
              <w:left w:type="dxa" w:w="120"/>
              <w:bottom w:type="dxa" w:w="80"/>
              <w:right w:type="dxa" w:w="120"/>
            </w:tcMar>
            <w:vAlign w:val="top"/>
          </w:tcPr>
          <w:p>
            <w:pPr>
              <w:spacing w:after="80" w:before="0"/>
              <w:jc w:val="left"/>
            </w:pPr>
            <w:r>
              <w:rPr>
                <w:rFonts w:ascii="Calibri" w:cs="Calibri" w:eastAsia="Calibri" w:hAnsi="Calibri"/>
                <w:b/>
                <w:bCs/>
                <w:i w:val="false"/>
                <w:iCs w:val="false"/>
                <w:caps w:val="false"/>
                <w:color w:val="6C4FCC"/>
                <w:sz w:val="19"/>
                <w:szCs w:val="19"/>
              </w:rPr>
              <w:t xml:space="preserve">S — Situation</w:t>
            </w:r>
          </w:p>
        </w:tc>
        <w:tc>
          <w:tcPr>
            <w:tcW w:type="dxa" w:w="7760"/>
            <w:tcBorders>
              <w:top w:val="single" w:color="CED4E8" w:sz="1"/>
              <w:left w:val="single" w:color="CED4E8" w:sz="1"/>
              <w:bottom w:val="single" w:color="CED4E8" w:sz="1"/>
              <w:right w:val="single" w:color="CED4E8" w:sz="1"/>
            </w:tcBorders>
            <w:shd w:fill="F8F9FC" w:val="clear"/>
            <w:tcMar>
              <w:top w:type="dxa" w:w="80"/>
              <w:left w:type="dxa" w:w="160"/>
              <w:bottom w:type="dxa" w:w="80"/>
              <w:right w:type="dxa" w:w="120"/>
            </w:tcMar>
          </w:tcPr>
          <w:p>
            <w:pPr>
              <w:spacing w:after="80" w:before="0"/>
              <w:jc w:val="left"/>
            </w:pPr>
            <w:r>
              <w:rPr>
                <w:rFonts w:ascii="Calibri" w:cs="Calibri" w:eastAsia="Calibri" w:hAnsi="Calibri"/>
                <w:b w:val="false"/>
                <w:bCs w:val="false"/>
                <w:i w:val="false"/>
                <w:iCs w:val="false"/>
                <w:caps w:val="false"/>
                <w:color w:val="3A3A55"/>
                <w:sz w:val="21"/>
                <w:szCs w:val="21"/>
              </w:rPr>
              <w:t xml:space="preserve">At Wells Fargo across 7+ trading platform teams, each team was making independent decisions on Angular patterns: some used NgRx, some used component-level services, some used BehaviorSubject patterns inconsistently. The result was that moving between codebases was disorienting for engineers, and reusable logic could not be shared because it was implemented differently in every platform.</w:t>
            </w:r>
          </w:p>
        </w:tc>
      </w:tr>
      <w:tr>
        <w:tc>
          <w:tcPr>
            <w:tcW w:type="dxa" w:w="1600"/>
            <w:tcBorders>
              <w:top w:val="single" w:color="CED4E8" w:sz="1"/>
              <w:left w:val="single" w:color="CED4E8" w:sz="1"/>
              <w:bottom w:val="single" w:color="CED4E8" w:sz="1"/>
              <w:right w:val="single" w:color="CED4E8" w:sz="1"/>
            </w:tcBorders>
            <w:shd w:fill="E4F7F7" w:val="clear"/>
            <w:tcMar>
              <w:top w:type="dxa" w:w="80"/>
              <w:left w:type="dxa" w:w="120"/>
              <w:bottom w:type="dxa" w:w="80"/>
              <w:right w:type="dxa" w:w="120"/>
            </w:tcMar>
            <w:vAlign w:val="top"/>
          </w:tcPr>
          <w:p>
            <w:pPr>
              <w:spacing w:after="80" w:before="0"/>
              <w:jc w:val="left"/>
            </w:pPr>
            <w:r>
              <w:rPr>
                <w:rFonts w:ascii="Calibri" w:cs="Calibri" w:eastAsia="Calibri" w:hAnsi="Calibri"/>
                <w:b/>
                <w:bCs/>
                <w:i w:val="false"/>
                <w:iCs w:val="false"/>
                <w:caps w:val="false"/>
                <w:color w:val="0D8A8A"/>
                <w:sz w:val="19"/>
                <w:szCs w:val="19"/>
              </w:rPr>
              <w:t xml:space="preserve">T — Task</w:t>
            </w:r>
          </w:p>
        </w:tc>
        <w:tc>
          <w:tcPr>
            <w:tcW w:type="dxa" w:w="7760"/>
            <w:tcBorders>
              <w:top w:val="single" w:color="CED4E8" w:sz="1"/>
              <w:left w:val="single" w:color="CED4E8" w:sz="1"/>
              <w:bottom w:val="single" w:color="CED4E8" w:sz="1"/>
              <w:right w:val="single" w:color="CED4E8" w:sz="1"/>
            </w:tcBorders>
            <w:shd w:fill="F8F9FC" w:val="clear"/>
            <w:tcMar>
              <w:top w:type="dxa" w:w="80"/>
              <w:left w:type="dxa" w:w="160"/>
              <w:bottom w:type="dxa" w:w="80"/>
              <w:right w:type="dxa" w:w="120"/>
            </w:tcMar>
          </w:tcPr>
          <w:p>
            <w:pPr>
              <w:spacing w:after="80" w:before="0"/>
              <w:jc w:val="left"/>
            </w:pPr>
            <w:r>
              <w:rPr>
                <w:rFonts w:ascii="Calibri" w:cs="Calibri" w:eastAsia="Calibri" w:hAnsi="Calibri"/>
                <w:b w:val="false"/>
                <w:bCs w:val="false"/>
                <w:i w:val="false"/>
                <w:iCs w:val="false"/>
                <w:caps w:val="false"/>
                <w:color w:val="3A3A55"/>
                <w:sz w:val="21"/>
                <w:szCs w:val="21"/>
              </w:rPr>
              <w:t xml:space="preserve">As Lead UI Architect I needed to establish shared standards that 7+ teams with their own tech leads would actually adopt — without a management mandate to force compliance.</w:t>
            </w:r>
          </w:p>
        </w:tc>
      </w:tr>
      <w:tr>
        <w:tc>
          <w:tcPr>
            <w:tcW w:type="dxa" w:w="1600"/>
            <w:tcBorders>
              <w:top w:val="single" w:color="CED4E8" w:sz="1"/>
              <w:left w:val="single" w:color="CED4E8" w:sz="1"/>
              <w:bottom w:val="single" w:color="CED4E8" w:sz="1"/>
              <w:right w:val="single" w:color="CED4E8" w:sz="1"/>
            </w:tcBorders>
            <w:shd w:fill="FEF5E4" w:val="clear"/>
            <w:tcMar>
              <w:top w:type="dxa" w:w="80"/>
              <w:left w:type="dxa" w:w="120"/>
              <w:bottom w:type="dxa" w:w="80"/>
              <w:right w:type="dxa" w:w="120"/>
            </w:tcMar>
            <w:vAlign w:val="top"/>
          </w:tcPr>
          <w:p>
            <w:pPr>
              <w:spacing w:after="80" w:before="0"/>
              <w:jc w:val="left"/>
            </w:pPr>
            <w:r>
              <w:rPr>
                <w:rFonts w:ascii="Calibri" w:cs="Calibri" w:eastAsia="Calibri" w:hAnsi="Calibri"/>
                <w:b/>
                <w:bCs/>
                <w:i w:val="false"/>
                <w:iCs w:val="false"/>
                <w:caps w:val="false"/>
                <w:color w:val="C07A1A"/>
                <w:sz w:val="19"/>
                <w:szCs w:val="19"/>
              </w:rPr>
              <w:t xml:space="preserve">A — Actions</w:t>
            </w:r>
          </w:p>
        </w:tc>
        <w:tc>
          <w:tcPr>
            <w:tcW w:type="dxa" w:w="7760"/>
            <w:tcBorders>
              <w:top w:val="single" w:color="CED4E8" w:sz="1"/>
              <w:left w:val="single" w:color="CED4E8" w:sz="1"/>
              <w:bottom w:val="single" w:color="CED4E8" w:sz="1"/>
              <w:right w:val="single" w:color="CED4E8" w:sz="1"/>
            </w:tcBorders>
            <w:shd w:fill="F8F9FC" w:val="clear"/>
            <w:tcMar>
              <w:top w:type="dxa" w:w="80"/>
              <w:left w:type="dxa" w:w="160"/>
              <w:bottom w:type="dxa" w:w="80"/>
              <w:right w:type="dxa" w:w="120"/>
            </w:tcMar>
          </w:tcPr>
          <w:p>
            <w:pPr>
              <w:spacing w:after="80" w:before="0"/>
              <w:jc w:val="left"/>
            </w:pPr>
            <w:r>
              <w:rPr>
                <w:rFonts w:ascii="Calibri" w:cs="Calibri" w:eastAsia="Calibri" w:hAnsi="Calibri"/>
                <w:b w:val="false"/>
                <w:bCs w:val="false"/>
                <w:i w:val="false"/>
                <w:iCs w:val="false"/>
                <w:caps w:val="false"/>
                <w:color w:val="3A3A55"/>
                <w:sz w:val="21"/>
                <w:szCs w:val="21"/>
              </w:rPr>
              <w:t xml:space="preserve">I ran a two-week discovery: one technical conversation with each team's lead to understand what they wanted standardised vs. what they wanted flexibility on. I identified the 4 areas where inconsistency was genuinely causing pain (authentication, state management patterns, component communication, CI/CD configuration) and the 3 areas where team autonomy was reasonable (testing frameworks, internal naming conventions, sprint process). I produced a single 'Frontend Platform Standards' document covering the 4 pain areas with clear rationale for each decision — not just 'use NgRx' but 'use NgRx with the Facade pattern because it isolates business logic from UI in a way that allows backend contract changes without UI rewrites.' I built the reference implementation for each standard in the shared Nx Workspace so teams could see working examples. I offered migration pairing: any team that wanted hands-on support adopting a standard could book time with me.</w:t>
            </w:r>
          </w:p>
        </w:tc>
      </w:tr>
      <w:tr>
        <w:tc>
          <w:tcPr>
            <w:tcW w:type="dxa" w:w="1600"/>
            <w:tcBorders>
              <w:top w:val="single" w:color="CED4E8" w:sz="1"/>
              <w:left w:val="single" w:color="CED4E8" w:sz="1"/>
              <w:bottom w:val="single" w:color="CED4E8" w:sz="1"/>
              <w:right w:val="single" w:color="CED4E8" w:sz="1"/>
            </w:tcBorders>
            <w:shd w:fill="E4F7ED" w:val="clear"/>
            <w:tcMar>
              <w:top w:type="dxa" w:w="80"/>
              <w:left w:type="dxa" w:w="120"/>
              <w:bottom w:type="dxa" w:w="80"/>
              <w:right w:type="dxa" w:w="120"/>
            </w:tcMar>
            <w:vAlign w:val="top"/>
          </w:tcPr>
          <w:p>
            <w:pPr>
              <w:spacing w:after="80" w:before="0"/>
              <w:jc w:val="left"/>
            </w:pPr>
            <w:r>
              <w:rPr>
                <w:rFonts w:ascii="Calibri" w:cs="Calibri" w:eastAsia="Calibri" w:hAnsi="Calibri"/>
                <w:b/>
                <w:bCs/>
                <w:i w:val="false"/>
                <w:iCs w:val="false"/>
                <w:caps w:val="false"/>
                <w:color w:val="1A7A42"/>
                <w:sz w:val="19"/>
                <w:szCs w:val="19"/>
              </w:rPr>
              <w:t xml:space="preserve">R — Result</w:t>
            </w:r>
          </w:p>
        </w:tc>
        <w:tc>
          <w:tcPr>
            <w:tcW w:type="dxa" w:w="7760"/>
            <w:tcBorders>
              <w:top w:val="single" w:color="CED4E8" w:sz="1"/>
              <w:left w:val="single" w:color="CED4E8" w:sz="1"/>
              <w:bottom w:val="single" w:color="CED4E8" w:sz="1"/>
              <w:right w:val="single" w:color="CED4E8" w:sz="1"/>
            </w:tcBorders>
            <w:shd w:fill="F8F9FC" w:val="clear"/>
            <w:tcMar>
              <w:top w:type="dxa" w:w="80"/>
              <w:left w:type="dxa" w:w="160"/>
              <w:bottom w:type="dxa" w:w="80"/>
              <w:right w:type="dxa" w:w="120"/>
            </w:tcMar>
          </w:tcPr>
          <w:p>
            <w:pPr>
              <w:spacing w:after="80" w:before="0"/>
              <w:jc w:val="left"/>
            </w:pPr>
            <w:r>
              <w:rPr>
                <w:rFonts w:ascii="Calibri" w:cs="Calibri" w:eastAsia="Calibri" w:hAnsi="Calibri"/>
                <w:b w:val="false"/>
                <w:bCs w:val="false"/>
                <w:i w:val="false"/>
                <w:iCs w:val="false"/>
                <w:caps w:val="false"/>
                <w:color w:val="3A3A55"/>
                <w:sz w:val="21"/>
                <w:szCs w:val="21"/>
              </w:rPr>
              <w:t xml:space="preserve">All 7 teams adopted the core standards within one quarter. Engineering onboarding time for new hires decreased — developers could move between trading platforms and recognise the patterns immediately. The NgRx Facade pattern I standardised was later cited by three teams as the reason they could absorb a major API contract change at the data source layer without rewriting UI components.</w:t>
            </w:r>
          </w:p>
        </w:tc>
      </w:tr>
      <w:tr>
        <w:tc>
          <w:tcPr>
            <w:tcW w:type="dxa" w:w="1600"/>
            <w:tcBorders>
              <w:top w:val="single" w:color="CED4E8" w:sz="1"/>
              <w:left w:val="single" w:color="CED4E8" w:sz="1"/>
              <w:bottom w:val="single" w:color="CED4E8" w:sz="1"/>
              <w:right w:val="single" w:color="CED4E8" w:sz="1"/>
            </w:tcBorders>
            <w:shd w:fill="F0F3F6" w:val="clear"/>
            <w:tcMar>
              <w:top w:type="dxa" w:w="80"/>
              <w:left w:type="dxa" w:w="120"/>
              <w:bottom w:type="dxa" w:w="80"/>
              <w:right w:type="dxa" w:w="120"/>
            </w:tcMar>
            <w:vAlign w:val="top"/>
          </w:tcPr>
          <w:p>
            <w:pPr>
              <w:spacing w:after="80" w:before="0"/>
              <w:jc w:val="left"/>
            </w:pPr>
            <w:r>
              <w:rPr>
                <w:rFonts w:ascii="Calibri" w:cs="Calibri" w:eastAsia="Calibri" w:hAnsi="Calibri"/>
                <w:b/>
                <w:bCs/>
                <w:i w:val="false"/>
                <w:iCs w:val="false"/>
                <w:caps w:val="false"/>
                <w:color w:val="556070"/>
                <w:sz w:val="19"/>
                <w:szCs w:val="19"/>
              </w:rPr>
              <w:t xml:space="preserve">↺ — Reflect</w:t>
            </w:r>
          </w:p>
        </w:tc>
        <w:tc>
          <w:tcPr>
            <w:tcW w:type="dxa" w:w="7760"/>
            <w:tcBorders>
              <w:top w:val="single" w:color="CED4E8" w:sz="1"/>
              <w:left w:val="single" w:color="CED4E8" w:sz="1"/>
              <w:bottom w:val="single" w:color="CED4E8" w:sz="1"/>
              <w:right w:val="single" w:color="CED4E8" w:sz="1"/>
            </w:tcBorders>
            <w:shd w:fill="F8F9FC" w:val="clear"/>
            <w:tcMar>
              <w:top w:type="dxa" w:w="80"/>
              <w:left w:type="dxa" w:w="160"/>
              <w:bottom w:type="dxa" w:w="80"/>
              <w:right w:type="dxa" w:w="120"/>
            </w:tcMar>
          </w:tcPr>
          <w:p>
            <w:pPr>
              <w:spacing w:after="80" w:before="0"/>
              <w:jc w:val="left"/>
            </w:pPr>
            <w:r>
              <w:rPr>
                <w:rFonts w:ascii="Calibri" w:cs="Calibri" w:eastAsia="Calibri" w:hAnsi="Calibri"/>
                <w:b w:val="false"/>
                <w:bCs w:val="false"/>
                <w:i w:val="false"/>
                <w:iCs w:val="false"/>
                <w:caps w:val="false"/>
                <w:color w:val="3A3A55"/>
                <w:sz w:val="21"/>
                <w:szCs w:val="21"/>
              </w:rPr>
              <w:t xml:space="preserve">The rationale is as important as the rule. Teams that understand why a standard exists will defend it when under deadline pressure. Teams that were just told what to do will abandon it the moment they are behind schedule. Writing the 'why' behind each standard in plain language — not architecture jargon — was the investment that made the standards durable.</w:t>
            </w:r>
          </w:p>
        </w:tc>
      </w:tr>
    </w:tbl>
    <w:p>
      <w:pPr>
        <w:spacing w:after="45" w:before="45"/>
      </w:pPr>
      <w:r>
        <w:t xml:space="preserve"/>
      </w:r>
    </w:p>
    <w:p>
      <w:pPr>
        <w:spacing w:after="60" w:before="180"/>
      </w:pPr>
      <w:r>
        <w:rPr>
          <w:rFonts w:ascii="Calibri" w:cs="Calibri" w:eastAsia="Calibri" w:hAnsi="Calibri"/>
          <w:b/>
          <w:bCs/>
          <w:i w:val="false"/>
          <w:iCs w:val="false"/>
          <w:caps w:val="false"/>
          <w:color w:val="1B2A4A"/>
          <w:sz w:val="22"/>
          <w:szCs w:val="22"/>
        </w:rPr>
        <w:t xml:space="preserve">Questions This Story Answers</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'How do you drive technical standards across multiple teams?'</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'Tell me about a time you created an engineering standard that was widely adopted.'</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'How do you build cross-team technical alignment?'</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'Describe how you influence engineers outside your direct team.'</w:t>
      </w:r>
    </w:p>
    <w:p>
      <w:r>
        <w:br w:type="page"/>
      </w:r>
    </w:p>
    <w:p>
      <w:pPr>
        <w:pStyle w:val="Heading2"/>
        <w:shd w:fill="0D5F5F" w:val="clear"/>
        <w:spacing w:after="150" w:before="320"/>
        <w:ind w:left="200"/>
      </w:pPr>
      <w:r>
        <w:rPr>
          <w:rFonts w:ascii="Calibri" w:cs="Calibri" w:eastAsia="Calibri" w:hAnsi="Calibri"/>
          <w:b/>
          <w:bCs/>
          <w:i w:val="false"/>
          <w:iCs w:val="false"/>
          <w:caps w:val="false"/>
          <w:color w:val="FFFFFF"/>
          <w:sz w:val="28"/>
          <w:szCs w:val="28"/>
        </w:rPr>
        <w:t xml:space="preserve">Story 9 — Quality Under Pressure: 100% WCAG Compliance (ETS)</w:t>
      </w:r>
    </w:p>
    <w:p>
      <w:pPr>
        <w:spacing w:after="90" w:before="40"/>
        <w:jc w:val="left"/>
      </w:pPr>
      <w:r>
        <w:rPr>
          <w:rFonts w:ascii="Calibri" w:cs="Calibri" w:eastAsia="Calibri" w:hAnsi="Calibri"/>
          <w:b w:val="false"/>
          <w:bCs w:val="false"/>
          <w:i w:val="false"/>
          <w:iCs w:val="false"/>
          <w:caps w:val="false"/>
          <w:color w:val="3A3A55"/>
          <w:sz w:val="22"/>
          <w:szCs w:val="22"/>
        </w:rPr>
        <w:t xml:space="preserve">Primary use: 'How do you maintain quality standards under delivery pressure?' Your achievement of 100% WCAG 2.x compliance at ETS on test delivery applications is a powerful quality story — accessibility compliance is both technically rigorous and legally meaningful, making the business stakes clear.</w:t>
      </w:r>
    </w:p>
    <w:p>
      <w:pPr>
        <w:spacing w:after="45" w:before="4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ED4E8" w:sz="1"/>
              <w:left w:val="single" w:color="CED4E8" w:sz="1"/>
              <w:bottom w:val="single" w:color="CED4E8" w:sz="1"/>
              <w:right w:val="single" w:color="CED4E8" w:sz="1"/>
            </w:tcBorders>
            <w:shd w:fill="F0EAFF" w:val="clear"/>
            <w:tcMar>
              <w:top w:type="dxa" w:w="80"/>
              <w:left w:type="dxa" w:w="120"/>
              <w:bottom w:type="dxa" w:w="80"/>
              <w:right w:type="dxa" w:w="120"/>
            </w:tcMar>
            <w:vAlign w:val="top"/>
          </w:tcPr>
          <w:p>
            <w:pPr>
              <w:spacing w:after="80" w:before="0"/>
              <w:jc w:val="left"/>
            </w:pPr>
            <w:r>
              <w:rPr>
                <w:rFonts w:ascii="Calibri" w:cs="Calibri" w:eastAsia="Calibri" w:hAnsi="Calibri"/>
                <w:b/>
                <w:bCs/>
                <w:i w:val="false"/>
                <w:iCs w:val="false"/>
                <w:caps w:val="false"/>
                <w:color w:val="6C4FCC"/>
                <w:sz w:val="19"/>
                <w:szCs w:val="19"/>
              </w:rPr>
              <w:t xml:space="preserve">S — Situation</w:t>
            </w:r>
          </w:p>
        </w:tc>
        <w:tc>
          <w:tcPr>
            <w:tcW w:type="dxa" w:w="7760"/>
            <w:tcBorders>
              <w:top w:val="single" w:color="CED4E8" w:sz="1"/>
              <w:left w:val="single" w:color="CED4E8" w:sz="1"/>
              <w:bottom w:val="single" w:color="CED4E8" w:sz="1"/>
              <w:right w:val="single" w:color="CED4E8" w:sz="1"/>
            </w:tcBorders>
            <w:shd w:fill="F8F9FC" w:val="clear"/>
            <w:tcMar>
              <w:top w:type="dxa" w:w="80"/>
              <w:left w:type="dxa" w:w="160"/>
              <w:bottom w:type="dxa" w:w="80"/>
              <w:right w:type="dxa" w:w="120"/>
            </w:tcMar>
          </w:tcPr>
          <w:p>
            <w:pPr>
              <w:spacing w:after="80" w:before="0"/>
              <w:jc w:val="left"/>
            </w:pPr>
            <w:r>
              <w:rPr>
                <w:rFonts w:ascii="Calibri" w:cs="Calibri" w:eastAsia="Calibri" w:hAnsi="Calibri"/>
                <w:b w:val="false"/>
                <w:bCs w:val="false"/>
                <w:i w:val="false"/>
                <w:iCs w:val="false"/>
                <w:caps w:val="false"/>
                <w:color w:val="3A3A55"/>
                <w:sz w:val="21"/>
                <w:szCs w:val="21"/>
              </w:rPr>
              <w:t xml:space="preserve">At Educational Testing Services, I led frontend architecture for test delivery applications used by students taking high-stakes educational assessments. WCAG 2.x compliance was not optional — test delivery to students with disabilities is a legal and ethical requirement. The challenge was achieving 100% compliance on a codebase that had accumulated accessibility debt across years of feature development, while continuing to deliver new test features on schedule.</w:t>
            </w:r>
          </w:p>
        </w:tc>
      </w:tr>
      <w:tr>
        <w:tc>
          <w:tcPr>
            <w:tcW w:type="dxa" w:w="1600"/>
            <w:tcBorders>
              <w:top w:val="single" w:color="CED4E8" w:sz="1"/>
              <w:left w:val="single" w:color="CED4E8" w:sz="1"/>
              <w:bottom w:val="single" w:color="CED4E8" w:sz="1"/>
              <w:right w:val="single" w:color="CED4E8" w:sz="1"/>
            </w:tcBorders>
            <w:shd w:fill="E4F7F7" w:val="clear"/>
            <w:tcMar>
              <w:top w:type="dxa" w:w="80"/>
              <w:left w:type="dxa" w:w="120"/>
              <w:bottom w:type="dxa" w:w="80"/>
              <w:right w:type="dxa" w:w="120"/>
            </w:tcMar>
            <w:vAlign w:val="top"/>
          </w:tcPr>
          <w:p>
            <w:pPr>
              <w:spacing w:after="80" w:before="0"/>
              <w:jc w:val="left"/>
            </w:pPr>
            <w:r>
              <w:rPr>
                <w:rFonts w:ascii="Calibri" w:cs="Calibri" w:eastAsia="Calibri" w:hAnsi="Calibri"/>
                <w:b/>
                <w:bCs/>
                <w:i w:val="false"/>
                <w:iCs w:val="false"/>
                <w:caps w:val="false"/>
                <w:color w:val="0D8A8A"/>
                <w:sz w:val="19"/>
                <w:szCs w:val="19"/>
              </w:rPr>
              <w:t xml:space="preserve">T — Task</w:t>
            </w:r>
          </w:p>
        </w:tc>
        <w:tc>
          <w:tcPr>
            <w:tcW w:type="dxa" w:w="7760"/>
            <w:tcBorders>
              <w:top w:val="single" w:color="CED4E8" w:sz="1"/>
              <w:left w:val="single" w:color="CED4E8" w:sz="1"/>
              <w:bottom w:val="single" w:color="CED4E8" w:sz="1"/>
              <w:right w:val="single" w:color="CED4E8" w:sz="1"/>
            </w:tcBorders>
            <w:shd w:fill="F8F9FC" w:val="clear"/>
            <w:tcMar>
              <w:top w:type="dxa" w:w="80"/>
              <w:left w:type="dxa" w:w="160"/>
              <w:bottom w:type="dxa" w:w="80"/>
              <w:right w:type="dxa" w:w="120"/>
            </w:tcMar>
          </w:tcPr>
          <w:p>
            <w:pPr>
              <w:spacing w:after="80" w:before="0"/>
              <w:jc w:val="left"/>
            </w:pPr>
            <w:r>
              <w:rPr>
                <w:rFonts w:ascii="Calibri" w:cs="Calibri" w:eastAsia="Calibri" w:hAnsi="Calibri"/>
                <w:b w:val="false"/>
                <w:bCs w:val="false"/>
                <w:i w:val="false"/>
                <w:iCs w:val="false"/>
                <w:caps w:val="false"/>
                <w:color w:val="3A3A55"/>
                <w:sz w:val="21"/>
                <w:szCs w:val="21"/>
              </w:rPr>
              <w:t xml:space="preserve">As Senior UI Architect I owned the accessibility compliance strategy. The target was 100% WCAG 2.x compliance — not 80%, not 'mostly compliant.' Every interactive element, every form, every dynamic content update had to be accessible.</w:t>
            </w:r>
          </w:p>
        </w:tc>
      </w:tr>
      <w:tr>
        <w:tc>
          <w:tcPr>
            <w:tcW w:type="dxa" w:w="1600"/>
            <w:tcBorders>
              <w:top w:val="single" w:color="CED4E8" w:sz="1"/>
              <w:left w:val="single" w:color="CED4E8" w:sz="1"/>
              <w:bottom w:val="single" w:color="CED4E8" w:sz="1"/>
              <w:right w:val="single" w:color="CED4E8" w:sz="1"/>
            </w:tcBorders>
            <w:shd w:fill="FEF5E4" w:val="clear"/>
            <w:tcMar>
              <w:top w:type="dxa" w:w="80"/>
              <w:left w:type="dxa" w:w="120"/>
              <w:bottom w:type="dxa" w:w="80"/>
              <w:right w:type="dxa" w:w="120"/>
            </w:tcMar>
            <w:vAlign w:val="top"/>
          </w:tcPr>
          <w:p>
            <w:pPr>
              <w:spacing w:after="80" w:before="0"/>
              <w:jc w:val="left"/>
            </w:pPr>
            <w:r>
              <w:rPr>
                <w:rFonts w:ascii="Calibri" w:cs="Calibri" w:eastAsia="Calibri" w:hAnsi="Calibri"/>
                <w:b/>
                <w:bCs/>
                <w:i w:val="false"/>
                <w:iCs w:val="false"/>
                <w:caps w:val="false"/>
                <w:color w:val="C07A1A"/>
                <w:sz w:val="19"/>
                <w:szCs w:val="19"/>
              </w:rPr>
              <w:t xml:space="preserve">A — Actions</w:t>
            </w:r>
          </w:p>
        </w:tc>
        <w:tc>
          <w:tcPr>
            <w:tcW w:type="dxa" w:w="7760"/>
            <w:tcBorders>
              <w:top w:val="single" w:color="CED4E8" w:sz="1"/>
              <w:left w:val="single" w:color="CED4E8" w:sz="1"/>
              <w:bottom w:val="single" w:color="CED4E8" w:sz="1"/>
              <w:right w:val="single" w:color="CED4E8" w:sz="1"/>
            </w:tcBorders>
            <w:shd w:fill="F8F9FC" w:val="clear"/>
            <w:tcMar>
              <w:top w:type="dxa" w:w="80"/>
              <w:left w:type="dxa" w:w="160"/>
              <w:bottom w:type="dxa" w:w="80"/>
              <w:right w:type="dxa" w:w="120"/>
            </w:tcMar>
          </w:tcPr>
          <w:p>
            <w:pPr>
              <w:spacing w:after="80" w:before="0"/>
              <w:jc w:val="left"/>
            </w:pPr>
            <w:r>
              <w:rPr>
                <w:rFonts w:ascii="Calibri" w:cs="Calibri" w:eastAsia="Calibri" w:hAnsi="Calibri"/>
                <w:b w:val="false"/>
                <w:bCs w:val="false"/>
                <w:i w:val="false"/>
                <w:iCs w:val="false"/>
                <w:caps w:val="false"/>
                <w:color w:val="3A3A55"/>
                <w:sz w:val="21"/>
                <w:szCs w:val="21"/>
              </w:rPr>
              <w:t xml:space="preserve">I embedded accessibility into the development process rather than treating it as a separate audit phase. I introduced: (1) axe-core automated accessibility testing in the CI/CD pipeline — any PR that introduced a WCAG regression was blocked from merging; (2) a mandatory WCAG review checklist for all component PRs covering keyboard navigation, ARIA attributes, focus management, and screen reader testing with JAWS; (3) a component-level accessibility testing pattern — every new component in the Angular/React library required a dedicated accessibility spec. For the existing accessibility debt, I ran a structured remediation programme: components were prioritised by frequency of use in test delivery flows, and each sprint had a dedicated capacity allocation for accessibility fixes alongside feature work. I personally tested all high-risk components with JAWS screen reader before each release.</w:t>
            </w:r>
          </w:p>
        </w:tc>
      </w:tr>
      <w:tr>
        <w:tc>
          <w:tcPr>
            <w:tcW w:type="dxa" w:w="1600"/>
            <w:tcBorders>
              <w:top w:val="single" w:color="CED4E8" w:sz="1"/>
              <w:left w:val="single" w:color="CED4E8" w:sz="1"/>
              <w:bottom w:val="single" w:color="CED4E8" w:sz="1"/>
              <w:right w:val="single" w:color="CED4E8" w:sz="1"/>
            </w:tcBorders>
            <w:shd w:fill="E4F7ED" w:val="clear"/>
            <w:tcMar>
              <w:top w:type="dxa" w:w="80"/>
              <w:left w:type="dxa" w:w="120"/>
              <w:bottom w:type="dxa" w:w="80"/>
              <w:right w:type="dxa" w:w="120"/>
            </w:tcMar>
            <w:vAlign w:val="top"/>
          </w:tcPr>
          <w:p>
            <w:pPr>
              <w:spacing w:after="80" w:before="0"/>
              <w:jc w:val="left"/>
            </w:pPr>
            <w:r>
              <w:rPr>
                <w:rFonts w:ascii="Calibri" w:cs="Calibri" w:eastAsia="Calibri" w:hAnsi="Calibri"/>
                <w:b/>
                <w:bCs/>
                <w:i w:val="false"/>
                <w:iCs w:val="false"/>
                <w:caps w:val="false"/>
                <w:color w:val="1A7A42"/>
                <w:sz w:val="19"/>
                <w:szCs w:val="19"/>
              </w:rPr>
              <w:t xml:space="preserve">R — Result</w:t>
            </w:r>
          </w:p>
        </w:tc>
        <w:tc>
          <w:tcPr>
            <w:tcW w:type="dxa" w:w="7760"/>
            <w:tcBorders>
              <w:top w:val="single" w:color="CED4E8" w:sz="1"/>
              <w:left w:val="single" w:color="CED4E8" w:sz="1"/>
              <w:bottom w:val="single" w:color="CED4E8" w:sz="1"/>
              <w:right w:val="single" w:color="CED4E8" w:sz="1"/>
            </w:tcBorders>
            <w:shd w:fill="F8F9FC" w:val="clear"/>
            <w:tcMar>
              <w:top w:type="dxa" w:w="80"/>
              <w:left w:type="dxa" w:w="160"/>
              <w:bottom w:type="dxa" w:w="80"/>
              <w:right w:type="dxa" w:w="120"/>
            </w:tcMar>
          </w:tcPr>
          <w:p>
            <w:pPr>
              <w:spacing w:after="80" w:before="0"/>
              <w:jc w:val="left"/>
            </w:pPr>
            <w:r>
              <w:rPr>
                <w:rFonts w:ascii="Calibri" w:cs="Calibri" w:eastAsia="Calibri" w:hAnsi="Calibri"/>
                <w:b w:val="false"/>
                <w:bCs w:val="false"/>
                <w:i w:val="false"/>
                <w:iCs w:val="false"/>
                <w:caps w:val="false"/>
                <w:color w:val="3A3A55"/>
                <w:sz w:val="21"/>
                <w:szCs w:val="21"/>
              </w:rPr>
              <w:t xml:space="preserve">100% WCAG 2.x compliance achieved across the test delivery application suite. The automated axe-core gate in CI/CD meant no new accessibility regressions shipped after the gate was implemented. JAWS screen reader compatibility was verified for all interactive flows. ETS delivered accessible test experiences to all registered students — zero accessibility-related delivery incidents during my tenure.</w:t>
            </w:r>
          </w:p>
        </w:tc>
      </w:tr>
      <w:tr>
        <w:tc>
          <w:tcPr>
            <w:tcW w:type="dxa" w:w="1600"/>
            <w:tcBorders>
              <w:top w:val="single" w:color="CED4E8" w:sz="1"/>
              <w:left w:val="single" w:color="CED4E8" w:sz="1"/>
              <w:bottom w:val="single" w:color="CED4E8" w:sz="1"/>
              <w:right w:val="single" w:color="CED4E8" w:sz="1"/>
            </w:tcBorders>
            <w:shd w:fill="F0F3F6" w:val="clear"/>
            <w:tcMar>
              <w:top w:type="dxa" w:w="80"/>
              <w:left w:type="dxa" w:w="120"/>
              <w:bottom w:type="dxa" w:w="80"/>
              <w:right w:type="dxa" w:w="120"/>
            </w:tcMar>
            <w:vAlign w:val="top"/>
          </w:tcPr>
          <w:p>
            <w:pPr>
              <w:spacing w:after="80" w:before="0"/>
              <w:jc w:val="left"/>
            </w:pPr>
            <w:r>
              <w:rPr>
                <w:rFonts w:ascii="Calibri" w:cs="Calibri" w:eastAsia="Calibri" w:hAnsi="Calibri"/>
                <w:b/>
                <w:bCs/>
                <w:i w:val="false"/>
                <w:iCs w:val="false"/>
                <w:caps w:val="false"/>
                <w:color w:val="556070"/>
                <w:sz w:val="19"/>
                <w:szCs w:val="19"/>
              </w:rPr>
              <w:t xml:space="preserve">↺ — Reflect</w:t>
            </w:r>
          </w:p>
        </w:tc>
        <w:tc>
          <w:tcPr>
            <w:tcW w:type="dxa" w:w="7760"/>
            <w:tcBorders>
              <w:top w:val="single" w:color="CED4E8" w:sz="1"/>
              <w:left w:val="single" w:color="CED4E8" w:sz="1"/>
              <w:bottom w:val="single" w:color="CED4E8" w:sz="1"/>
              <w:right w:val="single" w:color="CED4E8" w:sz="1"/>
            </w:tcBorders>
            <w:shd w:fill="F8F9FC" w:val="clear"/>
            <w:tcMar>
              <w:top w:type="dxa" w:w="80"/>
              <w:left w:type="dxa" w:w="160"/>
              <w:bottom w:type="dxa" w:w="80"/>
              <w:right w:type="dxa" w:w="120"/>
            </w:tcMar>
          </w:tcPr>
          <w:p>
            <w:pPr>
              <w:spacing w:after="80" w:before="0"/>
              <w:jc w:val="left"/>
            </w:pPr>
            <w:r>
              <w:rPr>
                <w:rFonts w:ascii="Calibri" w:cs="Calibri" w:eastAsia="Calibri" w:hAnsi="Calibri"/>
                <w:b w:val="false"/>
                <w:bCs w:val="false"/>
                <w:i w:val="false"/>
                <w:iCs w:val="false"/>
                <w:caps w:val="false"/>
                <w:color w:val="3A3A55"/>
                <w:sz w:val="21"/>
                <w:szCs w:val="21"/>
              </w:rPr>
              <w:t xml:space="preserve">Accessibility is most expensive when retrofitted and cheapest when designed in. The CI/CD gate was the single highest-ROI investment I made: it cost one sprint to set up and prevented dozens of manual audit cycles over the following two years. I now insist on accessibility gates in CI/CD as non-negotiable on any application that serves the public — not as a legal checkbox, but because it is the right thing to build.</w:t>
            </w:r>
          </w:p>
        </w:tc>
      </w:tr>
    </w:tbl>
    <w:p>
      <w:pPr>
        <w:spacing w:after="45" w:before="45"/>
      </w:pPr>
      <w:r>
        <w:t xml:space="preserve"/>
      </w:r>
    </w:p>
    <w:p>
      <w:pPr>
        <w:spacing w:after="60" w:before="180"/>
      </w:pPr>
      <w:r>
        <w:rPr>
          <w:rFonts w:ascii="Calibri" w:cs="Calibri" w:eastAsia="Calibri" w:hAnsi="Calibri"/>
          <w:b/>
          <w:bCs/>
          <w:i w:val="false"/>
          <w:iCs w:val="false"/>
          <w:caps w:val="false"/>
          <w:color w:val="1B2A4A"/>
          <w:sz w:val="22"/>
          <w:szCs w:val="22"/>
        </w:rPr>
        <w:t xml:space="preserve">Questions This Story Answers</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'How do you maintain quality standards under delivery pressure?'</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'Tell me about a time you embedded quality practices into a development process.'</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'Describe a time you championed accessibility or inclusive design at scale.'</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'How do you handle technical quality when the business wants speed?'</w:t>
      </w:r>
    </w:p>
    <w:p>
      <w:r>
        <w:br w:type="page"/>
      </w:r>
    </w:p>
    <w:p>
      <w:pPr>
        <w:pStyle w:val="Heading2"/>
        <w:shd w:fill="1B2A4A" w:val="clear"/>
        <w:spacing w:after="150" w:before="320"/>
        <w:ind w:left="200"/>
      </w:pPr>
      <w:r>
        <w:rPr>
          <w:rFonts w:ascii="Calibri" w:cs="Calibri" w:eastAsia="Calibri" w:hAnsi="Calibri"/>
          <w:b/>
          <w:bCs/>
          <w:i w:val="false"/>
          <w:iCs w:val="false"/>
          <w:caps w:val="false"/>
          <w:color w:val="FFFFFF"/>
          <w:sz w:val="28"/>
          <w:szCs w:val="28"/>
        </w:rPr>
        <w:t xml:space="preserve">Story 10 — Built Something Used at Scale (OpenFin Trading Platform Suite)</w:t>
      </w:r>
    </w:p>
    <w:p>
      <w:pPr>
        <w:spacing w:after="90" w:before="40"/>
        <w:jc w:val="left"/>
      </w:pPr>
      <w:r>
        <w:rPr>
          <w:rFonts w:ascii="Calibri" w:cs="Calibri" w:eastAsia="Calibri" w:hAnsi="Calibri"/>
          <w:b w:val="false"/>
          <w:bCs w:val="false"/>
          <w:i w:val="false"/>
          <w:iCs w:val="false"/>
          <w:caps w:val="false"/>
          <w:color w:val="3A3A55"/>
          <w:sz w:val="22"/>
          <w:szCs w:val="22"/>
        </w:rPr>
        <w:t xml:space="preserve">Primary use: 'Tell me about something you built that operates at significant scale.' ClickUp serves millions of users. Your Wells Fargo trading platform suite — real-time market data, high-frequency trading workflows, used by trading desks across the enterprise — demonstrates enterprise-grade scale engineering.</w:t>
      </w:r>
    </w:p>
    <w:p>
      <w:pPr>
        <w:spacing w:after="45" w:before="4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ED4E8" w:sz="1"/>
              <w:left w:val="single" w:color="CED4E8" w:sz="1"/>
              <w:bottom w:val="single" w:color="CED4E8" w:sz="1"/>
              <w:right w:val="single" w:color="CED4E8" w:sz="1"/>
            </w:tcBorders>
            <w:shd w:fill="F0EAFF" w:val="clear"/>
            <w:tcMar>
              <w:top w:type="dxa" w:w="80"/>
              <w:left w:type="dxa" w:w="120"/>
              <w:bottom w:type="dxa" w:w="80"/>
              <w:right w:type="dxa" w:w="120"/>
            </w:tcMar>
            <w:vAlign w:val="top"/>
          </w:tcPr>
          <w:p>
            <w:pPr>
              <w:spacing w:after="80" w:before="0"/>
              <w:jc w:val="left"/>
            </w:pPr>
            <w:r>
              <w:rPr>
                <w:rFonts w:ascii="Calibri" w:cs="Calibri" w:eastAsia="Calibri" w:hAnsi="Calibri"/>
                <w:b/>
                <w:bCs/>
                <w:i w:val="false"/>
                <w:iCs w:val="false"/>
                <w:caps w:val="false"/>
                <w:color w:val="6C4FCC"/>
                <w:sz w:val="19"/>
                <w:szCs w:val="19"/>
              </w:rPr>
              <w:t xml:space="preserve">S — Situation</w:t>
            </w:r>
          </w:p>
        </w:tc>
        <w:tc>
          <w:tcPr>
            <w:tcW w:type="dxa" w:w="7760"/>
            <w:tcBorders>
              <w:top w:val="single" w:color="CED4E8" w:sz="1"/>
              <w:left w:val="single" w:color="CED4E8" w:sz="1"/>
              <w:bottom w:val="single" w:color="CED4E8" w:sz="1"/>
              <w:right w:val="single" w:color="CED4E8" w:sz="1"/>
            </w:tcBorders>
            <w:shd w:fill="F8F9FC" w:val="clear"/>
            <w:tcMar>
              <w:top w:type="dxa" w:w="80"/>
              <w:left w:type="dxa" w:w="160"/>
              <w:bottom w:type="dxa" w:w="80"/>
              <w:right w:type="dxa" w:w="120"/>
            </w:tcMar>
          </w:tcPr>
          <w:p>
            <w:pPr>
              <w:spacing w:after="80" w:before="0"/>
              <w:jc w:val="left"/>
            </w:pPr>
            <w:r>
              <w:rPr>
                <w:rFonts w:ascii="Calibri" w:cs="Calibri" w:eastAsia="Calibri" w:hAnsi="Calibri"/>
                <w:b w:val="false"/>
                <w:bCs w:val="false"/>
                <w:i w:val="false"/>
                <w:iCs w:val="false"/>
                <w:caps w:val="false"/>
                <w:color w:val="3A3A55"/>
                <w:sz w:val="21"/>
                <w:szCs w:val="21"/>
              </w:rPr>
              <w:t xml:space="preserve">At Wells Fargo, the fixed income trading desk depends on real-time market data to make live trading decisions. The platforms I architected — including the Real-Time CMT Yields viewer, Market Data Aggregator, and Treasury Risk Viewer — process live bond data, yield curves, repo rates, and CMT data used during active trading hours. Any latency or downtime has direct financial consequences for the trading desk. The user base spans multiple trading teams across the enterprise.</w:t>
            </w:r>
          </w:p>
        </w:tc>
      </w:tr>
      <w:tr>
        <w:tc>
          <w:tcPr>
            <w:tcW w:type="dxa" w:w="1600"/>
            <w:tcBorders>
              <w:top w:val="single" w:color="CED4E8" w:sz="1"/>
              <w:left w:val="single" w:color="CED4E8" w:sz="1"/>
              <w:bottom w:val="single" w:color="CED4E8" w:sz="1"/>
              <w:right w:val="single" w:color="CED4E8" w:sz="1"/>
            </w:tcBorders>
            <w:shd w:fill="E4F7F7" w:val="clear"/>
            <w:tcMar>
              <w:top w:type="dxa" w:w="80"/>
              <w:left w:type="dxa" w:w="120"/>
              <w:bottom w:type="dxa" w:w="80"/>
              <w:right w:type="dxa" w:w="120"/>
            </w:tcMar>
            <w:vAlign w:val="top"/>
          </w:tcPr>
          <w:p>
            <w:pPr>
              <w:spacing w:after="80" w:before="0"/>
              <w:jc w:val="left"/>
            </w:pPr>
            <w:r>
              <w:rPr>
                <w:rFonts w:ascii="Calibri" w:cs="Calibri" w:eastAsia="Calibri" w:hAnsi="Calibri"/>
                <w:b/>
                <w:bCs/>
                <w:i w:val="false"/>
                <w:iCs w:val="false"/>
                <w:caps w:val="false"/>
                <w:color w:val="0D8A8A"/>
                <w:sz w:val="19"/>
                <w:szCs w:val="19"/>
              </w:rPr>
              <w:t xml:space="preserve">T — Task</w:t>
            </w:r>
          </w:p>
        </w:tc>
        <w:tc>
          <w:tcPr>
            <w:tcW w:type="dxa" w:w="7760"/>
            <w:tcBorders>
              <w:top w:val="single" w:color="CED4E8" w:sz="1"/>
              <w:left w:val="single" w:color="CED4E8" w:sz="1"/>
              <w:bottom w:val="single" w:color="CED4E8" w:sz="1"/>
              <w:right w:val="single" w:color="CED4E8" w:sz="1"/>
            </w:tcBorders>
            <w:shd w:fill="F8F9FC" w:val="clear"/>
            <w:tcMar>
              <w:top w:type="dxa" w:w="80"/>
              <w:left w:type="dxa" w:w="160"/>
              <w:bottom w:type="dxa" w:w="80"/>
              <w:right w:type="dxa" w:w="120"/>
            </w:tcMar>
          </w:tcPr>
          <w:p>
            <w:pPr>
              <w:spacing w:after="80" w:before="0"/>
              <w:jc w:val="left"/>
            </w:pPr>
            <w:r>
              <w:rPr>
                <w:rFonts w:ascii="Calibri" w:cs="Calibri" w:eastAsia="Calibri" w:hAnsi="Calibri"/>
                <w:b w:val="false"/>
                <w:bCs w:val="false"/>
                <w:i w:val="false"/>
                <w:iCs w:val="false"/>
                <w:caps w:val="false"/>
                <w:color w:val="3A3A55"/>
                <w:sz w:val="21"/>
                <w:szCs w:val="21"/>
              </w:rPr>
              <w:t xml:space="preserve">I was the Lead UI Architect responsible for the end-to-end frontend architecture of the trading platform suite: the Angular applications, the NestJS API platform serving fixed income data, the real-time data pipeline via Solace messaging and DeepHaven, and the authentication and entitlement layer via Apigee.</w:t>
            </w:r>
          </w:p>
        </w:tc>
      </w:tr>
      <w:tr>
        <w:tc>
          <w:tcPr>
            <w:tcW w:type="dxa" w:w="1600"/>
            <w:tcBorders>
              <w:top w:val="single" w:color="CED4E8" w:sz="1"/>
              <w:left w:val="single" w:color="CED4E8" w:sz="1"/>
              <w:bottom w:val="single" w:color="CED4E8" w:sz="1"/>
              <w:right w:val="single" w:color="CED4E8" w:sz="1"/>
            </w:tcBorders>
            <w:shd w:fill="FEF5E4" w:val="clear"/>
            <w:tcMar>
              <w:top w:type="dxa" w:w="80"/>
              <w:left w:type="dxa" w:w="120"/>
              <w:bottom w:type="dxa" w:w="80"/>
              <w:right w:type="dxa" w:w="120"/>
            </w:tcMar>
            <w:vAlign w:val="top"/>
          </w:tcPr>
          <w:p>
            <w:pPr>
              <w:spacing w:after="80" w:before="0"/>
              <w:jc w:val="left"/>
            </w:pPr>
            <w:r>
              <w:rPr>
                <w:rFonts w:ascii="Calibri" w:cs="Calibri" w:eastAsia="Calibri" w:hAnsi="Calibri"/>
                <w:b/>
                <w:bCs/>
                <w:i w:val="false"/>
                <w:iCs w:val="false"/>
                <w:caps w:val="false"/>
                <w:color w:val="C07A1A"/>
                <w:sz w:val="19"/>
                <w:szCs w:val="19"/>
              </w:rPr>
              <w:t xml:space="preserve">A — Actions</w:t>
            </w:r>
          </w:p>
        </w:tc>
        <w:tc>
          <w:tcPr>
            <w:tcW w:type="dxa" w:w="7760"/>
            <w:tcBorders>
              <w:top w:val="single" w:color="CED4E8" w:sz="1"/>
              <w:left w:val="single" w:color="CED4E8" w:sz="1"/>
              <w:bottom w:val="single" w:color="CED4E8" w:sz="1"/>
              <w:right w:val="single" w:color="CED4E8" w:sz="1"/>
            </w:tcBorders>
            <w:shd w:fill="F8F9FC" w:val="clear"/>
            <w:tcMar>
              <w:top w:type="dxa" w:w="80"/>
              <w:left w:type="dxa" w:w="160"/>
              <w:bottom w:type="dxa" w:w="80"/>
              <w:right w:type="dxa" w:w="120"/>
            </w:tcMar>
          </w:tcPr>
          <w:p>
            <w:pPr>
              <w:spacing w:after="80" w:before="0"/>
              <w:jc w:val="left"/>
            </w:pPr>
            <w:r>
              <w:rPr>
                <w:rFonts w:ascii="Calibri" w:cs="Calibri" w:eastAsia="Calibri" w:hAnsi="Calibri"/>
                <w:b w:val="false"/>
                <w:bCs w:val="false"/>
                <w:i w:val="false"/>
                <w:iCs w:val="false"/>
                <w:caps w:val="false"/>
                <w:color w:val="3A3A55"/>
                <w:sz w:val="21"/>
                <w:szCs w:val="21"/>
              </w:rPr>
              <w:t xml:space="preserve">I designed the system to handle the reliability and latency requirements of trading-hours operations. For real-time data: WebSocket connections via Solace messaging delivered live market data updates to the Angular frontends — I designed the connection management to automatically reconnect and replay missed messages during connection interruptions without requiring user refresh. For the NestJS API platform: I built typed endpoints serving bond data, yield curves, repo rates, relative value analytics, and CMT data with caching strategies appropriate to each data type's update frequency. For entitlement: the Apigee platform enforced trader-level access control, ensuring data visibility was restricted to authorised trading roles. I integrated AI-assisted development tooling (GitHub Copilot, Story Weaver GenAI) to improve development velocity without compromising the codebase's reliability standards.</w:t>
            </w:r>
          </w:p>
        </w:tc>
      </w:tr>
      <w:tr>
        <w:tc>
          <w:tcPr>
            <w:tcW w:type="dxa" w:w="1600"/>
            <w:tcBorders>
              <w:top w:val="single" w:color="CED4E8" w:sz="1"/>
              <w:left w:val="single" w:color="CED4E8" w:sz="1"/>
              <w:bottom w:val="single" w:color="CED4E8" w:sz="1"/>
              <w:right w:val="single" w:color="CED4E8" w:sz="1"/>
            </w:tcBorders>
            <w:shd w:fill="E4F7ED" w:val="clear"/>
            <w:tcMar>
              <w:top w:type="dxa" w:w="80"/>
              <w:left w:type="dxa" w:w="120"/>
              <w:bottom w:type="dxa" w:w="80"/>
              <w:right w:type="dxa" w:w="120"/>
            </w:tcMar>
            <w:vAlign w:val="top"/>
          </w:tcPr>
          <w:p>
            <w:pPr>
              <w:spacing w:after="80" w:before="0"/>
              <w:jc w:val="left"/>
            </w:pPr>
            <w:r>
              <w:rPr>
                <w:rFonts w:ascii="Calibri" w:cs="Calibri" w:eastAsia="Calibri" w:hAnsi="Calibri"/>
                <w:b/>
                <w:bCs/>
                <w:i w:val="false"/>
                <w:iCs w:val="false"/>
                <w:caps w:val="false"/>
                <w:color w:val="1A7A42"/>
                <w:sz w:val="19"/>
                <w:szCs w:val="19"/>
              </w:rPr>
              <w:t xml:space="preserve">R — Result</w:t>
            </w:r>
          </w:p>
        </w:tc>
        <w:tc>
          <w:tcPr>
            <w:tcW w:type="dxa" w:w="7760"/>
            <w:tcBorders>
              <w:top w:val="single" w:color="CED4E8" w:sz="1"/>
              <w:left w:val="single" w:color="CED4E8" w:sz="1"/>
              <w:bottom w:val="single" w:color="CED4E8" w:sz="1"/>
              <w:right w:val="single" w:color="CED4E8" w:sz="1"/>
            </w:tcBorders>
            <w:shd w:fill="F8F9FC" w:val="clear"/>
            <w:tcMar>
              <w:top w:type="dxa" w:w="80"/>
              <w:left w:type="dxa" w:w="160"/>
              <w:bottom w:type="dxa" w:w="80"/>
              <w:right w:type="dxa" w:w="120"/>
            </w:tcMar>
          </w:tcPr>
          <w:p>
            <w:pPr>
              <w:spacing w:after="80" w:before="0"/>
              <w:jc w:val="left"/>
            </w:pPr>
            <w:r>
              <w:rPr>
                <w:rFonts w:ascii="Calibri" w:cs="Calibri" w:eastAsia="Calibri" w:hAnsi="Calibri"/>
                <w:b w:val="false"/>
                <w:bCs w:val="false"/>
                <w:i w:val="false"/>
                <w:iCs w:val="false"/>
                <w:caps w:val="false"/>
                <w:color w:val="3A3A55"/>
                <w:sz w:val="21"/>
                <w:szCs w:val="21"/>
              </w:rPr>
              <w:t xml:space="preserve">The trading platform suite went live and has been operating in production through multiple market cycles. The NestJS API platform serves multiple downstream applications that previously accessed fragmented data sources — it became an internal product beyond the original scope. The Apigee auth platform covers 10+ enterprise applications. The Module Federation architecture enables independent platform team deployments — a platform team can ship a fix without coordinating with six other teams.</w:t>
            </w:r>
          </w:p>
        </w:tc>
      </w:tr>
      <w:tr>
        <w:tc>
          <w:tcPr>
            <w:tcW w:type="dxa" w:w="1600"/>
            <w:tcBorders>
              <w:top w:val="single" w:color="CED4E8" w:sz="1"/>
              <w:left w:val="single" w:color="CED4E8" w:sz="1"/>
              <w:bottom w:val="single" w:color="CED4E8" w:sz="1"/>
              <w:right w:val="single" w:color="CED4E8" w:sz="1"/>
            </w:tcBorders>
            <w:shd w:fill="F0F3F6" w:val="clear"/>
            <w:tcMar>
              <w:top w:type="dxa" w:w="80"/>
              <w:left w:type="dxa" w:w="120"/>
              <w:bottom w:type="dxa" w:w="80"/>
              <w:right w:type="dxa" w:w="120"/>
            </w:tcMar>
            <w:vAlign w:val="top"/>
          </w:tcPr>
          <w:p>
            <w:pPr>
              <w:spacing w:after="80" w:before="0"/>
              <w:jc w:val="left"/>
            </w:pPr>
            <w:r>
              <w:rPr>
                <w:rFonts w:ascii="Calibri" w:cs="Calibri" w:eastAsia="Calibri" w:hAnsi="Calibri"/>
                <w:b/>
                <w:bCs/>
                <w:i w:val="false"/>
                <w:iCs w:val="false"/>
                <w:caps w:val="false"/>
                <w:color w:val="556070"/>
                <w:sz w:val="19"/>
                <w:szCs w:val="19"/>
              </w:rPr>
              <w:t xml:space="preserve">↺ — Reflect</w:t>
            </w:r>
          </w:p>
        </w:tc>
        <w:tc>
          <w:tcPr>
            <w:tcW w:type="dxa" w:w="7760"/>
            <w:tcBorders>
              <w:top w:val="single" w:color="CED4E8" w:sz="1"/>
              <w:left w:val="single" w:color="CED4E8" w:sz="1"/>
              <w:bottom w:val="single" w:color="CED4E8" w:sz="1"/>
              <w:right w:val="single" w:color="CED4E8" w:sz="1"/>
            </w:tcBorders>
            <w:shd w:fill="F8F9FC" w:val="clear"/>
            <w:tcMar>
              <w:top w:type="dxa" w:w="80"/>
              <w:left w:type="dxa" w:w="160"/>
              <w:bottom w:type="dxa" w:w="80"/>
              <w:right w:type="dxa" w:w="120"/>
            </w:tcMar>
          </w:tcPr>
          <w:p>
            <w:pPr>
              <w:spacing w:after="80" w:before="0"/>
              <w:jc w:val="left"/>
            </w:pPr>
            <w:r>
              <w:rPr>
                <w:rFonts w:ascii="Calibri" w:cs="Calibri" w:eastAsia="Calibri" w:hAnsi="Calibri"/>
                <w:b w:val="false"/>
                <w:bCs w:val="false"/>
                <w:i w:val="false"/>
                <w:iCs w:val="false"/>
                <w:caps w:val="false"/>
                <w:color w:val="3A3A55"/>
                <w:sz w:val="21"/>
                <w:szCs w:val="21"/>
              </w:rPr>
              <w:t xml:space="preserve">High-frequency financial systems taught me that reliability patterns (reconnect logic, message replay, graceful degradation) must be designed before they are needed, not added when they first fail in production. I now include explicit failure-mode design as a required section in all architecture proposals: 'What happens when X fails? How does the user know? How does the system recover?'</w:t>
            </w:r>
          </w:p>
        </w:tc>
      </w:tr>
    </w:tbl>
    <w:p>
      <w:pPr>
        <w:spacing w:after="45" w:before="45"/>
      </w:pPr>
      <w:r>
        <w:t xml:space="preserve"/>
      </w:r>
    </w:p>
    <w:p>
      <w:pPr>
        <w:spacing w:after="60" w:before="180"/>
      </w:pPr>
      <w:r>
        <w:rPr>
          <w:rFonts w:ascii="Calibri" w:cs="Calibri" w:eastAsia="Calibri" w:hAnsi="Calibri"/>
          <w:b/>
          <w:bCs/>
          <w:i w:val="false"/>
          <w:iCs w:val="false"/>
          <w:caps w:val="false"/>
          <w:color w:val="1B2A4A"/>
          <w:sz w:val="22"/>
          <w:szCs w:val="22"/>
        </w:rPr>
        <w:t xml:space="preserve">Questions This Story Answers</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'Tell me about something you built that operates at real scale.'</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'Describe your experience with real-time data systems.'</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'How do you design for reliability in high-stakes applications?'</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'What is the most technically complex system you have architected?'</w:t>
      </w:r>
    </w:p>
    <w:p>
      <w:r>
        <w:br w:type="page"/>
      </w:r>
    </w:p>
    <w:p>
      <w:pPr>
        <w:pStyle w:val="Heading1"/>
        <w:shd w:fill="0D5F5F" w:val="clear"/>
        <w:spacing w:after="200" w:before="440"/>
        <w:ind w:left="240" w:right="240"/>
      </w:pPr>
      <w:r>
        <w:rPr>
          <w:rFonts w:ascii="Calibri" w:cs="Calibri" w:eastAsia="Calibri" w:hAnsi="Calibri"/>
          <w:b/>
          <w:bCs/>
          <w:i w:val="false"/>
          <w:iCs w:val="false"/>
          <w:caps w:val="false"/>
          <w:color w:val="FFFFFF"/>
          <w:sz w:val="36"/>
          <w:szCs w:val="36"/>
        </w:rPr>
        <w:t xml:space="preserve">Part 3 — Full Q&amp;A Bank with Your Personalised Answers</w:t>
      </w:r>
    </w:p>
    <w:p>
      <w:pPr>
        <w:spacing w:after="90" w:before="40"/>
        <w:jc w:val="left"/>
      </w:pPr>
      <w:r>
        <w:rPr>
          <w:rFonts w:ascii="Calibri" w:cs="Calibri" w:eastAsia="Calibri" w:hAnsi="Calibri"/>
          <w:b w:val="false"/>
          <w:bCs w:val="false"/>
          <w:i w:val="false"/>
          <w:iCs w:val="false"/>
          <w:caps w:val="false"/>
          <w:color w:val="3A3A55"/>
          <w:sz w:val="22"/>
          <w:szCs w:val="22"/>
        </w:rPr>
        <w:t xml:space="preserve">Every answer below is written specifically for your background. Do not use these verbatim — they are anchor points. Personalise with the specific names, metrics, and conversational details only you know. The structure is what matters; the specificity is what wins.</w:t>
      </w:r>
    </w:p>
    <w:p>
      <w:r>
        <w:br w:type="page"/>
      </w:r>
    </w:p>
    <w:p>
      <w:pPr>
        <w:pStyle w:val="Heading2"/>
        <w:shd w:fill="5C3D99" w:val="clear"/>
        <w:spacing w:after="150" w:before="320"/>
        <w:ind w:left="200"/>
      </w:pPr>
      <w:r>
        <w:rPr>
          <w:rFonts w:ascii="Calibri" w:cs="Calibri" w:eastAsia="Calibri" w:hAnsi="Calibri"/>
          <w:b/>
          <w:bCs/>
          <w:i w:val="false"/>
          <w:iCs w:val="false"/>
          <w:caps w:val="false"/>
          <w:color w:val="FFFFFF"/>
          <w:sz w:val="28"/>
          <w:szCs w:val="28"/>
        </w:rPr>
        <w:t xml:space="preserve">Theme A — Technical Leadership &amp; Architecture</w:t>
      </w:r>
    </w:p>
    <w:p>
      <w:pPr>
        <w:spacing w:after="45" w:before="4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ED4E8" w:sz="1"/>
              <w:left w:val="single" w:color="CED4E8" w:sz="1"/>
              <w:bottom w:val="none" w:color="FFFFFF" w:sz="0"/>
              <w:right w:val="single" w:color="CED4E8" w:sz="1"/>
            </w:tcBorders>
            <w:shd w:fill="1B2A4A" w:val="clear"/>
            <w:tcMar>
              <w:top w:type="dxa" w:w="120"/>
              <w:left w:type="dxa" w:w="220"/>
              <w:bottom w:type="dxa" w:w="100"/>
              <w:right w:type="dxa" w:w="180"/>
            </w:tcMar>
          </w:tcPr>
          <w:p>
            <w:pPr>
              <w:spacing w:after="50" w:before="0"/>
              <w:jc w:val="left"/>
            </w:pPr>
            <w:r>
              <w:rPr>
                <w:rFonts w:ascii="Calibri" w:cs="Calibri" w:eastAsia="Calibri" w:hAnsi="Calibri"/>
                <w:b/>
                <w:bCs/>
                <w:i w:val="false"/>
                <w:iCs w:val="false"/>
                <w:caps w:val="false"/>
                <w:color w:val="AABBFF"/>
                <w:sz w:val="21"/>
                <w:szCs w:val="21"/>
              </w:rPr>
              <w:t xml:space="preserve">Q: </w:t>
            </w:r>
            <w:r>
              <w:rPr>
                <w:rFonts w:ascii="Calibri" w:cs="Calibri" w:eastAsia="Calibri" w:hAnsi="Calibri"/>
                <w:b/>
                <w:bCs/>
                <w:i w:val="false"/>
                <w:iCs w:val="false"/>
                <w:caps w:val="false"/>
                <w:color w:val="FFFFFF"/>
                <w:sz w:val="21"/>
                <w:szCs w:val="21"/>
              </w:rPr>
              <w:t xml:space="preserve">Walk me through your most complex architectural decision. How did you approach it?</w:t>
            </w:r>
          </w:p>
          <w:p>
            <w:pPr>
              <w:spacing w:after="80" w:before="0"/>
              <w:jc w:val="right"/>
            </w:pPr>
            <w:r>
              <w:rPr>
                <w:rFonts w:ascii="Calibri" w:cs="Calibri" w:eastAsia="Calibri" w:hAnsi="Calibri"/>
                <w:b w:val="false"/>
                <w:bCs w:val="false"/>
                <w:i w:val="false"/>
                <w:iCs w:val="false"/>
                <w:caps w:val="false"/>
                <w:color w:val="B03030"/>
                <w:sz w:val="17"/>
                <w:szCs w:val="17"/>
              </w:rPr>
              <w:t xml:space="preserve">★ Hard</w:t>
            </w:r>
          </w:p>
        </w:tc>
      </w:tr>
      <w:tr>
        <w:tc>
          <w:tcPr>
            <w:tcW w:type="dxa" w:w="9360"/>
            <w:tcBorders>
              <w:top w:val="none" w:color="FFFFFF" w:sz="0"/>
              <w:left w:val="single" w:color="CED4E8" w:sz="1"/>
              <w:bottom w:val="single" w:color="CED4E8" w:sz="1"/>
              <w:right w:val="single" w:color="CED4E8" w:sz="1"/>
            </w:tcBorders>
            <w:shd w:fill="F8F9FC" w:val="clear"/>
            <w:tcMar>
              <w:top w:type="dxa" w:w="130"/>
              <w:left w:type="dxa" w:w="220"/>
              <w:bottom w:type="dxa" w:w="120"/>
              <w:right w:type="dxa" w:w="180"/>
            </w:tcMar>
          </w:tcPr>
          <w:p>
            <w:pPr>
              <w:spacing w:after="70" w:before="0"/>
              <w:jc w:val="left"/>
            </w:pPr>
            <w:r>
              <w:rPr>
                <w:rFonts w:ascii="Calibri" w:cs="Calibri" w:eastAsia="Calibri" w:hAnsi="Calibri"/>
                <w:b/>
                <w:bCs/>
                <w:i w:val="false"/>
                <w:iCs w:val="false"/>
                <w:caps w:val="false"/>
                <w:color w:val="3D5A99"/>
                <w:sz w:val="19"/>
                <w:szCs w:val="19"/>
              </w:rPr>
              <w:t xml:space="preserve">Your personalised answer:</w:t>
            </w:r>
          </w:p>
          <w:p>
            <w:pPr>
              <w:spacing w:after="90" w:before="40"/>
              <w:jc w:val="left"/>
            </w:pPr>
            <w:r>
              <w:rPr>
                <w:rFonts w:ascii="Calibri" w:cs="Calibri" w:eastAsia="Calibri" w:hAnsi="Calibri"/>
                <w:b w:val="false"/>
                <w:bCs w:val="false"/>
                <w:i w:val="false"/>
                <w:iCs w:val="false"/>
                <w:caps w:val="false"/>
                <w:color w:val="3A3A55"/>
                <w:sz w:val="22"/>
                <w:szCs w:val="22"/>
              </w:rPr>
              <w:t xml:space="preserve">Use your OpenFin trading platform modernisation (Story 7) or the Module Federation architecture (Story 2). Structure your answer around the decision framework, not just the outcome:</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Situation: 7 .NET desktop trading applications, live trading desk dependency, .NET talent scarcity, no shared component model.</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Options considered: (1) Strangler fig — run .NET and Angular in parallel and gradually migrate, (2) Big bang rewrite — high risk, trading desk disruption, (3) Platform-by-platform phased migration with shared Nx Workspace foundation — chosen approach.</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Decision drivers: risk to live trading operations, team capacity per platform, shared component opportunity, timeline to decommission .NET licensing.</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What you'd do differently: start the dependency audit a full sprint earlier — the first migration revealed unknowns that a proper audit would have caught before the clock started.</w:t>
            </w:r>
          </w:p>
          <w:p>
            <w:pPr>
              <w:spacing w:after="45" w:before="45"/>
            </w:pPr>
            <w:r>
              <w:t xml:space="preserve"/>
            </w:r>
          </w:p>
          <w:p>
            <w:pPr>
              <w:spacing w:after="90" w:before="40"/>
              <w:jc w:val="left"/>
            </w:pPr>
            <w:r>
              <w:rPr>
                <w:rFonts w:ascii="Calibri" w:cs="Calibri" w:eastAsia="Calibri" w:hAnsi="Calibri"/>
                <w:b w:val="false"/>
                <w:bCs w:val="false"/>
                <w:i/>
                <w:iCs/>
                <w:caps w:val="false"/>
                <w:color w:val="7A8A99"/>
                <w:sz w:val="22"/>
                <w:szCs w:val="22"/>
              </w:rPr>
              <w:t xml:space="preserve">Coaching note: ClickUp wants to see that you evaluated multiple options with explicit trade-off reasoning — not that you picked the obvious answer. Name the options you rejected and why.</w:t>
            </w:r>
          </w:p>
        </w:tc>
      </w:tr>
    </w:tbl>
    <w:p>
      <w:pPr>
        <w:spacing w:after="45" w:before="4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ED4E8" w:sz="1"/>
              <w:left w:val="single" w:color="CED4E8" w:sz="1"/>
              <w:bottom w:val="none" w:color="FFFFFF" w:sz="0"/>
              <w:right w:val="single" w:color="CED4E8" w:sz="1"/>
            </w:tcBorders>
            <w:shd w:fill="1B2A4A" w:val="clear"/>
            <w:tcMar>
              <w:top w:type="dxa" w:w="120"/>
              <w:left w:type="dxa" w:w="220"/>
              <w:bottom w:type="dxa" w:w="100"/>
              <w:right w:type="dxa" w:w="180"/>
            </w:tcMar>
          </w:tcPr>
          <w:p>
            <w:pPr>
              <w:spacing w:after="50" w:before="0"/>
              <w:jc w:val="left"/>
            </w:pPr>
            <w:r>
              <w:rPr>
                <w:rFonts w:ascii="Calibri" w:cs="Calibri" w:eastAsia="Calibri" w:hAnsi="Calibri"/>
                <w:b/>
                <w:bCs/>
                <w:i w:val="false"/>
                <w:iCs w:val="false"/>
                <w:caps w:val="false"/>
                <w:color w:val="AABBFF"/>
                <w:sz w:val="21"/>
                <w:szCs w:val="21"/>
              </w:rPr>
              <w:t xml:space="preserve">Q: </w:t>
            </w:r>
            <w:r>
              <w:rPr>
                <w:rFonts w:ascii="Calibri" w:cs="Calibri" w:eastAsia="Calibri" w:hAnsi="Calibri"/>
                <w:b/>
                <w:bCs/>
                <w:i w:val="false"/>
                <w:iCs w:val="false"/>
                <w:caps w:val="false"/>
                <w:color w:val="FFFFFF"/>
                <w:sz w:val="21"/>
                <w:szCs w:val="21"/>
              </w:rPr>
              <w:t xml:space="preserve">How do you decide when to introduce a new technology vs. extending an existing one?</w:t>
            </w:r>
          </w:p>
          <w:p>
            <w:pPr>
              <w:spacing w:after="80" w:before="0"/>
              <w:jc w:val="right"/>
            </w:pPr>
            <w:r>
              <w:rPr>
                <w:rFonts w:ascii="Calibri" w:cs="Calibri" w:eastAsia="Calibri" w:hAnsi="Calibri"/>
                <w:b w:val="false"/>
                <w:bCs w:val="false"/>
                <w:i w:val="false"/>
                <w:iCs w:val="false"/>
                <w:caps w:val="false"/>
                <w:color w:val="C07A1A"/>
                <w:sz w:val="17"/>
                <w:szCs w:val="17"/>
              </w:rPr>
              <w:t xml:space="preserve">★ Medium</w:t>
            </w:r>
          </w:p>
        </w:tc>
      </w:tr>
      <w:tr>
        <w:tc>
          <w:tcPr>
            <w:tcW w:type="dxa" w:w="9360"/>
            <w:tcBorders>
              <w:top w:val="none" w:color="FFFFFF" w:sz="0"/>
              <w:left w:val="single" w:color="CED4E8" w:sz="1"/>
              <w:bottom w:val="single" w:color="CED4E8" w:sz="1"/>
              <w:right w:val="single" w:color="CED4E8" w:sz="1"/>
            </w:tcBorders>
            <w:shd w:fill="F8F9FC" w:val="clear"/>
            <w:tcMar>
              <w:top w:type="dxa" w:w="130"/>
              <w:left w:type="dxa" w:w="220"/>
              <w:bottom w:type="dxa" w:w="120"/>
              <w:right w:type="dxa" w:w="180"/>
            </w:tcMar>
          </w:tcPr>
          <w:p>
            <w:pPr>
              <w:spacing w:after="70" w:before="0"/>
              <w:jc w:val="left"/>
            </w:pPr>
            <w:r>
              <w:rPr>
                <w:rFonts w:ascii="Calibri" w:cs="Calibri" w:eastAsia="Calibri" w:hAnsi="Calibri"/>
                <w:b/>
                <w:bCs/>
                <w:i w:val="false"/>
                <w:iCs w:val="false"/>
                <w:caps w:val="false"/>
                <w:color w:val="3D5A99"/>
                <w:sz w:val="19"/>
                <w:szCs w:val="19"/>
              </w:rPr>
              <w:t xml:space="preserve">Your personalised answer:</w:t>
            </w:r>
          </w:p>
          <w:p>
            <w:pPr>
              <w:spacing w:after="90" w:before="40"/>
              <w:jc w:val="left"/>
            </w:pPr>
            <w:r>
              <w:rPr>
                <w:rFonts w:ascii="Calibri" w:cs="Calibri" w:eastAsia="Calibri" w:hAnsi="Calibri"/>
                <w:b w:val="false"/>
                <w:bCs w:val="false"/>
                <w:i w:val="false"/>
                <w:iCs w:val="false"/>
                <w:caps w:val="false"/>
                <w:color w:val="3A3A55"/>
                <w:sz w:val="22"/>
                <w:szCs w:val="22"/>
              </w:rPr>
              <w:t xml:space="preserve">Your Module Federation adoption at Wells Fargo is the perfect 'introduce' example. Your NgRx standardisation across teams is the 'extend' example. Use both:</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Introduce criterion 1 — fundamental constraint: the existing approach had a fundamental limitation. Copy-paste component sharing was not extensible to independent deployments — that is a fundamental architectural constraint, not a preference issue.</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Introduce criterion 2 — production track record: Module Federation had 2+ years of production use at comparable enterprise scale before I proposed it at Wells Fargo. I had reviewed implementations at similar financial services firms.</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Introduce criterion 3 — team capability: at least one engineer (me, initially) had direct hands-on experience. I built the proof of concept and was the training resource.</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Extend example: when teams wanted to replace NgRx with a custom state solution, I extended the existing NgRx pattern with the Facade layer instead — the fundamental architecture was sound, it just needed a stronger contract boundary.</w:t>
            </w:r>
          </w:p>
        </w:tc>
      </w:tr>
    </w:tbl>
    <w:p>
      <w:pPr>
        <w:spacing w:after="45" w:before="4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ED4E8" w:sz="1"/>
              <w:left w:val="single" w:color="CED4E8" w:sz="1"/>
              <w:bottom w:val="none" w:color="FFFFFF" w:sz="0"/>
              <w:right w:val="single" w:color="CED4E8" w:sz="1"/>
            </w:tcBorders>
            <w:shd w:fill="1B2A4A" w:val="clear"/>
            <w:tcMar>
              <w:top w:type="dxa" w:w="120"/>
              <w:left w:type="dxa" w:w="220"/>
              <w:bottom w:type="dxa" w:w="100"/>
              <w:right w:type="dxa" w:w="180"/>
            </w:tcMar>
          </w:tcPr>
          <w:p>
            <w:pPr>
              <w:spacing w:after="50" w:before="0"/>
              <w:jc w:val="left"/>
            </w:pPr>
            <w:r>
              <w:rPr>
                <w:rFonts w:ascii="Calibri" w:cs="Calibri" w:eastAsia="Calibri" w:hAnsi="Calibri"/>
                <w:b/>
                <w:bCs/>
                <w:i w:val="false"/>
                <w:iCs w:val="false"/>
                <w:caps w:val="false"/>
                <w:color w:val="AABBFF"/>
                <w:sz w:val="21"/>
                <w:szCs w:val="21"/>
              </w:rPr>
              <w:t xml:space="preserve">Q: </w:t>
            </w:r>
            <w:r>
              <w:rPr>
                <w:rFonts w:ascii="Calibri" w:cs="Calibri" w:eastAsia="Calibri" w:hAnsi="Calibri"/>
                <w:b/>
                <w:bCs/>
                <w:i w:val="false"/>
                <w:iCs w:val="false"/>
                <w:caps w:val="false"/>
                <w:color w:val="FFFFFF"/>
                <w:sz w:val="21"/>
                <w:szCs w:val="21"/>
              </w:rPr>
              <w:t xml:space="preserve">How do you design for reliability in high-stakes production systems?</w:t>
            </w:r>
          </w:p>
          <w:p>
            <w:pPr>
              <w:spacing w:after="80" w:before="0"/>
              <w:jc w:val="right"/>
            </w:pPr>
            <w:r>
              <w:rPr>
                <w:rFonts w:ascii="Calibri" w:cs="Calibri" w:eastAsia="Calibri" w:hAnsi="Calibri"/>
                <w:b w:val="false"/>
                <w:bCs w:val="false"/>
                <w:i w:val="false"/>
                <w:iCs w:val="false"/>
                <w:caps w:val="false"/>
                <w:color w:val="B03030"/>
                <w:sz w:val="17"/>
                <w:szCs w:val="17"/>
              </w:rPr>
              <w:t xml:space="preserve">★ Hard</w:t>
            </w:r>
          </w:p>
        </w:tc>
      </w:tr>
      <w:tr>
        <w:tc>
          <w:tcPr>
            <w:tcW w:type="dxa" w:w="9360"/>
            <w:tcBorders>
              <w:top w:val="none" w:color="FFFFFF" w:sz="0"/>
              <w:left w:val="single" w:color="CED4E8" w:sz="1"/>
              <w:bottom w:val="single" w:color="CED4E8" w:sz="1"/>
              <w:right w:val="single" w:color="CED4E8" w:sz="1"/>
            </w:tcBorders>
            <w:shd w:fill="F8F9FC" w:val="clear"/>
            <w:tcMar>
              <w:top w:type="dxa" w:w="130"/>
              <w:left w:type="dxa" w:w="220"/>
              <w:bottom w:type="dxa" w:w="120"/>
              <w:right w:type="dxa" w:w="180"/>
            </w:tcMar>
          </w:tcPr>
          <w:p>
            <w:pPr>
              <w:spacing w:after="70" w:before="0"/>
              <w:jc w:val="left"/>
            </w:pPr>
            <w:r>
              <w:rPr>
                <w:rFonts w:ascii="Calibri" w:cs="Calibri" w:eastAsia="Calibri" w:hAnsi="Calibri"/>
                <w:b/>
                <w:bCs/>
                <w:i w:val="false"/>
                <w:iCs w:val="false"/>
                <w:caps w:val="false"/>
                <w:color w:val="3D5A99"/>
                <w:sz w:val="19"/>
                <w:szCs w:val="19"/>
              </w:rPr>
              <w:t xml:space="preserve">Your personalised answer:</w:t>
            </w:r>
          </w:p>
          <w:p>
            <w:pPr>
              <w:spacing w:after="90" w:before="40"/>
              <w:jc w:val="left"/>
            </w:pPr>
            <w:r>
              <w:rPr>
                <w:rFonts w:ascii="Calibri" w:cs="Calibri" w:eastAsia="Calibri" w:hAnsi="Calibri"/>
                <w:b w:val="false"/>
                <w:bCs w:val="false"/>
                <w:i w:val="false"/>
                <w:iCs w:val="false"/>
                <w:caps w:val="false"/>
                <w:color w:val="3A3A55"/>
                <w:sz w:val="22"/>
                <w:szCs w:val="22"/>
              </w:rPr>
              <w:t xml:space="preserve">Draw on your real-time trading platform experience at Wells Fargo and WebSocket work at ETS:</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Failure-mode-first design: for every component in the system, I explicitly ask 'what happens when this fails?' before finalising the design. For Solace WebSocket connections: reconnect with message replay. For API calls: circuit breaker + graceful degradation to cached data. For authentication: session timeout with user notification before expiry.</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Real metric from ETS: AWS API Gateway WebSocket implementation reduced event latency by 20% — but more importantly, the reconnect logic I built meant students never lost test session state during connection interruptions.</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Observable systems: every production system I architect has structured logging (I used Splunk at Wells Fargo), error rate alerting, and a defined runbook for the 3 most likely failure modes before go-live.</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ClickUp angle: ClickUp's real-time collaboration (Docs, live task updates) has identical reliability requirements to a trading dashboard. The patterns I used at Wells Fargo — WebSocket reconnect, message replay, optimistic UI with server reconciliation — are directly applicable.</w:t>
            </w:r>
          </w:p>
        </w:tc>
      </w:tr>
    </w:tbl>
    <w:p>
      <w:pPr>
        <w:spacing w:after="45" w:before="45"/>
      </w:pPr>
      <w:r>
        <w:t xml:space="preserve"/>
      </w:r>
    </w:p>
    <w:p>
      <w:r>
        <w:br w:type="page"/>
      </w:r>
    </w:p>
    <w:p>
      <w:pPr>
        <w:pStyle w:val="Heading2"/>
        <w:shd w:fill="0D5F5F" w:val="clear"/>
        <w:spacing w:after="150" w:before="320"/>
        <w:ind w:left="200"/>
      </w:pPr>
      <w:r>
        <w:rPr>
          <w:rFonts w:ascii="Calibri" w:cs="Calibri" w:eastAsia="Calibri" w:hAnsi="Calibri"/>
          <w:b/>
          <w:bCs/>
          <w:i w:val="false"/>
          <w:iCs w:val="false"/>
          <w:caps w:val="false"/>
          <w:color w:val="FFFFFF"/>
          <w:sz w:val="28"/>
          <w:szCs w:val="28"/>
        </w:rPr>
        <w:t xml:space="preserve">Theme B — Mentorship &amp; Growing Engineers</w:t>
      </w:r>
    </w:p>
    <w:p>
      <w:pPr>
        <w:spacing w:after="45" w:before="4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ED4E8" w:sz="1"/>
              <w:left w:val="single" w:color="CED4E8" w:sz="1"/>
              <w:bottom w:val="none" w:color="FFFFFF" w:sz="0"/>
              <w:right w:val="single" w:color="CED4E8" w:sz="1"/>
            </w:tcBorders>
            <w:shd w:fill="1B2A4A" w:val="clear"/>
            <w:tcMar>
              <w:top w:type="dxa" w:w="120"/>
              <w:left w:type="dxa" w:w="220"/>
              <w:bottom w:type="dxa" w:w="100"/>
              <w:right w:type="dxa" w:w="180"/>
            </w:tcMar>
          </w:tcPr>
          <w:p>
            <w:pPr>
              <w:spacing w:after="50" w:before="0"/>
              <w:jc w:val="left"/>
            </w:pPr>
            <w:r>
              <w:rPr>
                <w:rFonts w:ascii="Calibri" w:cs="Calibri" w:eastAsia="Calibri" w:hAnsi="Calibri"/>
                <w:b/>
                <w:bCs/>
                <w:i w:val="false"/>
                <w:iCs w:val="false"/>
                <w:caps w:val="false"/>
                <w:color w:val="AABBFF"/>
                <w:sz w:val="21"/>
                <w:szCs w:val="21"/>
              </w:rPr>
              <w:t xml:space="preserve">Q: </w:t>
            </w:r>
            <w:r>
              <w:rPr>
                <w:rFonts w:ascii="Calibri" w:cs="Calibri" w:eastAsia="Calibri" w:hAnsi="Calibri"/>
                <w:b/>
                <w:bCs/>
                <w:i w:val="false"/>
                <w:iCs w:val="false"/>
                <w:caps w:val="false"/>
                <w:color w:val="FFFFFF"/>
                <w:sz w:val="21"/>
                <w:szCs w:val="21"/>
              </w:rPr>
              <w:t xml:space="preserve">How do you adjust your mentorship approach for engineers at different levels?</w:t>
            </w:r>
          </w:p>
          <w:p>
            <w:pPr>
              <w:spacing w:after="80" w:before="0"/>
              <w:jc w:val="right"/>
            </w:pPr>
            <w:r>
              <w:rPr>
                <w:rFonts w:ascii="Calibri" w:cs="Calibri" w:eastAsia="Calibri" w:hAnsi="Calibri"/>
                <w:b w:val="false"/>
                <w:bCs w:val="false"/>
                <w:i w:val="false"/>
                <w:iCs w:val="false"/>
                <w:caps w:val="false"/>
                <w:color w:val="C07A1A"/>
                <w:sz w:val="17"/>
                <w:szCs w:val="17"/>
              </w:rPr>
              <w:t xml:space="preserve">★ Medium</w:t>
            </w:r>
          </w:p>
        </w:tc>
      </w:tr>
      <w:tr>
        <w:tc>
          <w:tcPr>
            <w:tcW w:type="dxa" w:w="9360"/>
            <w:tcBorders>
              <w:top w:val="none" w:color="FFFFFF" w:sz="0"/>
              <w:left w:val="single" w:color="CED4E8" w:sz="1"/>
              <w:bottom w:val="single" w:color="CED4E8" w:sz="1"/>
              <w:right w:val="single" w:color="CED4E8" w:sz="1"/>
            </w:tcBorders>
            <w:shd w:fill="F8F9FC" w:val="clear"/>
            <w:tcMar>
              <w:top w:type="dxa" w:w="130"/>
              <w:left w:type="dxa" w:w="220"/>
              <w:bottom w:type="dxa" w:w="120"/>
              <w:right w:type="dxa" w:w="180"/>
            </w:tcMar>
          </w:tcPr>
          <w:p>
            <w:pPr>
              <w:spacing w:after="70" w:before="0"/>
              <w:jc w:val="left"/>
            </w:pPr>
            <w:r>
              <w:rPr>
                <w:rFonts w:ascii="Calibri" w:cs="Calibri" w:eastAsia="Calibri" w:hAnsi="Calibri"/>
                <w:b/>
                <w:bCs/>
                <w:i w:val="false"/>
                <w:iCs w:val="false"/>
                <w:caps w:val="false"/>
                <w:color w:val="3D5A99"/>
                <w:sz w:val="19"/>
                <w:szCs w:val="19"/>
              </w:rPr>
              <w:t xml:space="preserve">Your personalised answer:</w:t>
            </w:r>
          </w:p>
          <w:p>
            <w:pPr>
              <w:spacing w:after="90" w:before="40"/>
              <w:jc w:val="left"/>
            </w:pPr>
            <w:r>
              <w:rPr>
                <w:rFonts w:ascii="Calibri" w:cs="Calibri" w:eastAsia="Calibri" w:hAnsi="Calibri"/>
                <w:b w:val="false"/>
                <w:bCs w:val="false"/>
                <w:i w:val="false"/>
                <w:iCs w:val="false"/>
                <w:caps w:val="false"/>
                <w:color w:val="3A3A55"/>
                <w:sz w:val="22"/>
                <w:szCs w:val="22"/>
              </w:rPr>
              <w:t xml:space="preserve">You mentored 8+ engineers at Wells Fargo and coached offshore teams at New York Life. Differentiate clearly:</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Junior engineers (Wells Fargo): focused on unblocking and positive feedback loops. Pair programming sessions on the Nx Workspace setup and Module Federation configuration — complex enough that reading docs alone was insufficient. Daily availability for questions without making them feel dependent.</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Mid-level engineers (Wells Fargo): problem-statement delegation. 'The shared component library needs a theming system — here are the constraints. Come back with three approaches.' Removed myself from the solution path. Reviewed proposals in writing to force them to articulate their own reasoning.</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Offshore teams (NYL): structured code reviews with explicit written criteria so feedback was consistent across timezones. Ran pair programming sessions for the first two weeks to establish patterns, then shifted to async review. Produced the Confluence knowledge base so the team could resolve common questions without a synchronous call.</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Senior engineers: co-authored the RFC for the trading platform integration standards rather than writing it myself and asking for review. Invited them to architecture decision sessions as peers, not observers. Advocated for their work visibly in leadership forums.</w:t>
            </w:r>
          </w:p>
        </w:tc>
      </w:tr>
    </w:tbl>
    <w:p>
      <w:pPr>
        <w:spacing w:after="45" w:before="4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ED4E8" w:sz="1"/>
              <w:left w:val="single" w:color="CED4E8" w:sz="1"/>
              <w:bottom w:val="none" w:color="FFFFFF" w:sz="0"/>
              <w:right w:val="single" w:color="CED4E8" w:sz="1"/>
            </w:tcBorders>
            <w:shd w:fill="1B2A4A" w:val="clear"/>
            <w:tcMar>
              <w:top w:type="dxa" w:w="120"/>
              <w:left w:type="dxa" w:w="220"/>
              <w:bottom w:type="dxa" w:w="100"/>
              <w:right w:type="dxa" w:w="180"/>
            </w:tcMar>
          </w:tcPr>
          <w:p>
            <w:pPr>
              <w:spacing w:after="50" w:before="0"/>
              <w:jc w:val="left"/>
            </w:pPr>
            <w:r>
              <w:rPr>
                <w:rFonts w:ascii="Calibri" w:cs="Calibri" w:eastAsia="Calibri" w:hAnsi="Calibri"/>
                <w:b/>
                <w:bCs/>
                <w:i w:val="false"/>
                <w:iCs w:val="false"/>
                <w:caps w:val="false"/>
                <w:color w:val="AABBFF"/>
                <w:sz w:val="21"/>
                <w:szCs w:val="21"/>
              </w:rPr>
              <w:t xml:space="preserve">Q: </w:t>
            </w:r>
            <w:r>
              <w:rPr>
                <w:rFonts w:ascii="Calibri" w:cs="Calibri" w:eastAsia="Calibri" w:hAnsi="Calibri"/>
                <w:b/>
                <w:bCs/>
                <w:i w:val="false"/>
                <w:iCs w:val="false"/>
                <w:caps w:val="false"/>
                <w:color w:val="FFFFFF"/>
                <w:sz w:val="21"/>
                <w:szCs w:val="21"/>
              </w:rPr>
              <w:t xml:space="preserve">Tell me about a time an engineer on your team was struggling. How did you handle it?</w:t>
            </w:r>
          </w:p>
          <w:p>
            <w:pPr>
              <w:spacing w:after="80" w:before="0"/>
              <w:jc w:val="right"/>
            </w:pPr>
            <w:r>
              <w:rPr>
                <w:rFonts w:ascii="Calibri" w:cs="Calibri" w:eastAsia="Calibri" w:hAnsi="Calibri"/>
                <w:b w:val="false"/>
                <w:bCs w:val="false"/>
                <w:i w:val="false"/>
                <w:iCs w:val="false"/>
                <w:caps w:val="false"/>
                <w:color w:val="B03030"/>
                <w:sz w:val="17"/>
                <w:szCs w:val="17"/>
              </w:rPr>
              <w:t xml:space="preserve">★ Hard</w:t>
            </w:r>
          </w:p>
        </w:tc>
      </w:tr>
      <w:tr>
        <w:tc>
          <w:tcPr>
            <w:tcW w:type="dxa" w:w="9360"/>
            <w:tcBorders>
              <w:top w:val="none" w:color="FFFFFF" w:sz="0"/>
              <w:left w:val="single" w:color="CED4E8" w:sz="1"/>
              <w:bottom w:val="single" w:color="CED4E8" w:sz="1"/>
              <w:right w:val="single" w:color="CED4E8" w:sz="1"/>
            </w:tcBorders>
            <w:shd w:fill="F8F9FC" w:val="clear"/>
            <w:tcMar>
              <w:top w:type="dxa" w:w="130"/>
              <w:left w:type="dxa" w:w="220"/>
              <w:bottom w:type="dxa" w:w="120"/>
              <w:right w:type="dxa" w:w="180"/>
            </w:tcMar>
          </w:tcPr>
          <w:p>
            <w:pPr>
              <w:spacing w:after="70" w:before="0"/>
              <w:jc w:val="left"/>
            </w:pPr>
            <w:r>
              <w:rPr>
                <w:rFonts w:ascii="Calibri" w:cs="Calibri" w:eastAsia="Calibri" w:hAnsi="Calibri"/>
                <w:b/>
                <w:bCs/>
                <w:i w:val="false"/>
                <w:iCs w:val="false"/>
                <w:caps w:val="false"/>
                <w:color w:val="3D5A99"/>
                <w:sz w:val="19"/>
                <w:szCs w:val="19"/>
              </w:rPr>
              <w:t xml:space="preserve">Your personalised answer:</w:t>
            </w:r>
          </w:p>
          <w:p>
            <w:pPr>
              <w:spacing w:after="90" w:before="40"/>
              <w:jc w:val="left"/>
            </w:pPr>
            <w:r>
              <w:rPr>
                <w:rFonts w:ascii="Calibri" w:cs="Calibri" w:eastAsia="Calibri" w:hAnsi="Calibri"/>
                <w:b w:val="false"/>
                <w:bCs w:val="false"/>
                <w:i w:val="false"/>
                <w:iCs w:val="false"/>
                <w:caps w:val="false"/>
                <w:color w:val="3A3A55"/>
                <w:sz w:val="22"/>
                <w:szCs w:val="22"/>
              </w:rPr>
              <w:t xml:space="preserve">Draw on your offshore team coaching experience at NYL or your Wells Fargo mentorship. Be specific about the behaviour — not 'performance issues' but a named pattern:</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Situation: an offshore engineer was consistently delivering PRs that passed functional requirements but failed accessibility review. The pattern was not lack of effort — it was lack of knowledge about Angular CDK FocusTrap and ARIA live region patterns.</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Direct conversation: I raised it in our next 1:1, framed as a skill gap not a performance issue: 'I want to show you a pattern in your recent PRs — here is what I am seeing, here is why it matters, and here is how we fix it.'</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Targeted support: I ran two pair programming sessions specifically on the accessibility patterns — not generic Angular, specifically the patterns that were failing. I created a 'common accessibility mistakes' reference document based on the patterns I saw in the reviews.</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Follow-through: PRs from that engineer showed consistent improvement within 3 sprints. I explicitly acknowledged the improvement in the next 1:1 — positive reinforcement is as important as correction.</w:t>
            </w:r>
          </w:p>
          <w:p>
            <w:pPr>
              <w:spacing w:after="45" w:before="45"/>
            </w:pPr>
            <w:r>
              <w:t xml:space="preserve"/>
            </w:r>
          </w:p>
          <w:p>
            <w:pPr>
              <w:spacing w:after="90" w:before="40"/>
              <w:jc w:val="left"/>
            </w:pPr>
            <w:r>
              <w:rPr>
                <w:rFonts w:ascii="Calibri" w:cs="Calibri" w:eastAsia="Calibri" w:hAnsi="Calibri"/>
                <w:b w:val="false"/>
                <w:bCs w:val="false"/>
                <w:i/>
                <w:iCs/>
                <w:caps w:val="false"/>
                <w:color w:val="7A8A99"/>
                <w:sz w:val="22"/>
                <w:szCs w:val="22"/>
              </w:rPr>
              <w:t xml:space="preserve">Key point: I never addressed the pattern in a group code review where the person was present without having already had the individual conversation. Public correction without private warning damages trust and creates defensiveness.</w:t>
            </w:r>
          </w:p>
        </w:tc>
      </w:tr>
    </w:tbl>
    <w:p>
      <w:pPr>
        <w:spacing w:after="45" w:before="45"/>
      </w:pPr>
      <w:r>
        <w:t xml:space="preserve"/>
      </w:r>
    </w:p>
    <w:p>
      <w:r>
        <w:br w:type="page"/>
      </w:r>
    </w:p>
    <w:p>
      <w:pPr>
        <w:pStyle w:val="Heading2"/>
        <w:shd w:fill="7A4200" w:val="clear"/>
        <w:spacing w:after="150" w:before="320"/>
        <w:ind w:left="200"/>
      </w:pPr>
      <w:r>
        <w:rPr>
          <w:rFonts w:ascii="Calibri" w:cs="Calibri" w:eastAsia="Calibri" w:hAnsi="Calibri"/>
          <w:b/>
          <w:bCs/>
          <w:i w:val="false"/>
          <w:iCs w:val="false"/>
          <w:caps w:val="false"/>
          <w:color w:val="FFFFFF"/>
          <w:sz w:val="28"/>
          <w:szCs w:val="28"/>
        </w:rPr>
        <w:t xml:space="preserve">Theme C — Stakeholder Management &amp; Business Alignment</w:t>
      </w:r>
    </w:p>
    <w:p>
      <w:pPr>
        <w:spacing w:after="45" w:before="4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ED4E8" w:sz="1"/>
              <w:left w:val="single" w:color="CED4E8" w:sz="1"/>
              <w:bottom w:val="none" w:color="FFFFFF" w:sz="0"/>
              <w:right w:val="single" w:color="CED4E8" w:sz="1"/>
            </w:tcBorders>
            <w:shd w:fill="1B2A4A" w:val="clear"/>
            <w:tcMar>
              <w:top w:type="dxa" w:w="120"/>
              <w:left w:type="dxa" w:w="220"/>
              <w:bottom w:type="dxa" w:w="100"/>
              <w:right w:type="dxa" w:w="180"/>
            </w:tcMar>
          </w:tcPr>
          <w:p>
            <w:pPr>
              <w:spacing w:after="50" w:before="0"/>
              <w:jc w:val="left"/>
            </w:pPr>
            <w:r>
              <w:rPr>
                <w:rFonts w:ascii="Calibri" w:cs="Calibri" w:eastAsia="Calibri" w:hAnsi="Calibri"/>
                <w:b/>
                <w:bCs/>
                <w:i w:val="false"/>
                <w:iCs w:val="false"/>
                <w:caps w:val="false"/>
                <w:color w:val="AABBFF"/>
                <w:sz w:val="21"/>
                <w:szCs w:val="21"/>
              </w:rPr>
              <w:t xml:space="preserve">Q: </w:t>
            </w:r>
            <w:r>
              <w:rPr>
                <w:rFonts w:ascii="Calibri" w:cs="Calibri" w:eastAsia="Calibri" w:hAnsi="Calibri"/>
                <w:b/>
                <w:bCs/>
                <w:i w:val="false"/>
                <w:iCs w:val="false"/>
                <w:caps w:val="false"/>
                <w:color w:val="FFFFFF"/>
                <w:sz w:val="21"/>
                <w:szCs w:val="21"/>
              </w:rPr>
              <w:t xml:space="preserve">How do you communicate technical complexity to non-technical stakeholders?</w:t>
            </w:r>
          </w:p>
          <w:p>
            <w:pPr>
              <w:spacing w:after="80" w:before="0"/>
              <w:jc w:val="right"/>
            </w:pPr>
            <w:r>
              <w:rPr>
                <w:rFonts w:ascii="Calibri" w:cs="Calibri" w:eastAsia="Calibri" w:hAnsi="Calibri"/>
                <w:b w:val="false"/>
                <w:bCs w:val="false"/>
                <w:i w:val="false"/>
                <w:iCs w:val="false"/>
                <w:caps w:val="false"/>
                <w:color w:val="C07A1A"/>
                <w:sz w:val="17"/>
                <w:szCs w:val="17"/>
              </w:rPr>
              <w:t xml:space="preserve">★ Medium</w:t>
            </w:r>
          </w:p>
        </w:tc>
      </w:tr>
      <w:tr>
        <w:tc>
          <w:tcPr>
            <w:tcW w:type="dxa" w:w="9360"/>
            <w:tcBorders>
              <w:top w:val="none" w:color="FFFFFF" w:sz="0"/>
              <w:left w:val="single" w:color="CED4E8" w:sz="1"/>
              <w:bottom w:val="single" w:color="CED4E8" w:sz="1"/>
              <w:right w:val="single" w:color="CED4E8" w:sz="1"/>
            </w:tcBorders>
            <w:shd w:fill="F8F9FC" w:val="clear"/>
            <w:tcMar>
              <w:top w:type="dxa" w:w="130"/>
              <w:left w:type="dxa" w:w="220"/>
              <w:bottom w:type="dxa" w:w="120"/>
              <w:right w:type="dxa" w:w="180"/>
            </w:tcMar>
          </w:tcPr>
          <w:p>
            <w:pPr>
              <w:spacing w:after="70" w:before="0"/>
              <w:jc w:val="left"/>
            </w:pPr>
            <w:r>
              <w:rPr>
                <w:rFonts w:ascii="Calibri" w:cs="Calibri" w:eastAsia="Calibri" w:hAnsi="Calibri"/>
                <w:b/>
                <w:bCs/>
                <w:i w:val="false"/>
                <w:iCs w:val="false"/>
                <w:caps w:val="false"/>
                <w:color w:val="3D5A99"/>
                <w:sz w:val="19"/>
                <w:szCs w:val="19"/>
              </w:rPr>
              <w:t xml:space="preserve">Your personalised answer:</w:t>
            </w:r>
          </w:p>
          <w:p>
            <w:pPr>
              <w:spacing w:after="90" w:before="40"/>
              <w:jc w:val="left"/>
            </w:pPr>
            <w:r>
              <w:rPr>
                <w:rFonts w:ascii="Calibri" w:cs="Calibri" w:eastAsia="Calibri" w:hAnsi="Calibri"/>
                <w:b w:val="false"/>
                <w:bCs w:val="false"/>
                <w:i w:val="false"/>
                <w:iCs w:val="false"/>
                <w:caps w:val="false"/>
                <w:color w:val="3A3A55"/>
                <w:sz w:val="22"/>
                <w:szCs w:val="22"/>
              </w:rPr>
              <w:t xml:space="preserve">Draw on your trading desk stakeholder experience at Wells Fargo and your VP-level communications:</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Trading desk example: when I needed to explain the Module Federation architecture to the fixed income trading desk product owner, I did not use the term 'Module Federation.' I said: 'Currently, if Team A needs to fix a bug in their platform, they have to coordinate a release with 6 other teams. With the new architecture, each team deploys independently — like an app store where each app updates without affecting the others.'</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Security/compliance reframe (Story 3): the Apigee platform proposal was failing as a technical argument. The moment I reframed it as '10 independent authentication implementations = 10 separate security patch surfaces' — and presented it as a compliance risk audit — the VP of Engineering moved it to the top of the priority list.</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General pattern: lead with business outcome → explain the technical constraint that blocks it → present the proposed solution in terms of what it enables, not how it works → quantify: cost (sprint estimate), risk (what happens if we don't), benefit (what becomes possible).</w:t>
            </w:r>
          </w:p>
        </w:tc>
      </w:tr>
    </w:tbl>
    <w:p>
      <w:pPr>
        <w:spacing w:after="45" w:before="4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ED4E8" w:sz="1"/>
              <w:left w:val="single" w:color="CED4E8" w:sz="1"/>
              <w:bottom w:val="none" w:color="FFFFFF" w:sz="0"/>
              <w:right w:val="single" w:color="CED4E8" w:sz="1"/>
            </w:tcBorders>
            <w:shd w:fill="1B2A4A" w:val="clear"/>
            <w:tcMar>
              <w:top w:type="dxa" w:w="120"/>
              <w:left w:type="dxa" w:w="220"/>
              <w:bottom w:type="dxa" w:w="100"/>
              <w:right w:type="dxa" w:w="180"/>
            </w:tcMar>
          </w:tcPr>
          <w:p>
            <w:pPr>
              <w:spacing w:after="50" w:before="0"/>
              <w:jc w:val="left"/>
            </w:pPr>
            <w:r>
              <w:rPr>
                <w:rFonts w:ascii="Calibri" w:cs="Calibri" w:eastAsia="Calibri" w:hAnsi="Calibri"/>
                <w:b/>
                <w:bCs/>
                <w:i w:val="false"/>
                <w:iCs w:val="false"/>
                <w:caps w:val="false"/>
                <w:color w:val="AABBFF"/>
                <w:sz w:val="21"/>
                <w:szCs w:val="21"/>
              </w:rPr>
              <w:t xml:space="preserve">Q: </w:t>
            </w:r>
            <w:r>
              <w:rPr>
                <w:rFonts w:ascii="Calibri" w:cs="Calibri" w:eastAsia="Calibri" w:hAnsi="Calibri"/>
                <w:b/>
                <w:bCs/>
                <w:i w:val="false"/>
                <w:iCs w:val="false"/>
                <w:caps w:val="false"/>
                <w:color w:val="FFFFFF"/>
                <w:sz w:val="21"/>
                <w:szCs w:val="21"/>
              </w:rPr>
              <w:t xml:space="preserve">How do you manage competing priorities from multiple teams?</w:t>
            </w:r>
          </w:p>
          <w:p>
            <w:pPr>
              <w:spacing w:after="80" w:before="0"/>
              <w:jc w:val="right"/>
            </w:pPr>
            <w:r>
              <w:rPr>
                <w:rFonts w:ascii="Calibri" w:cs="Calibri" w:eastAsia="Calibri" w:hAnsi="Calibri"/>
                <w:b w:val="false"/>
                <w:bCs w:val="false"/>
                <w:i w:val="false"/>
                <w:iCs w:val="false"/>
                <w:caps w:val="false"/>
                <w:color w:val="C07A1A"/>
                <w:sz w:val="17"/>
                <w:szCs w:val="17"/>
              </w:rPr>
              <w:t xml:space="preserve">★ Medium</w:t>
            </w:r>
          </w:p>
        </w:tc>
      </w:tr>
      <w:tr>
        <w:tc>
          <w:tcPr>
            <w:tcW w:type="dxa" w:w="9360"/>
            <w:tcBorders>
              <w:top w:val="none" w:color="FFFFFF" w:sz="0"/>
              <w:left w:val="single" w:color="CED4E8" w:sz="1"/>
              <w:bottom w:val="single" w:color="CED4E8" w:sz="1"/>
              <w:right w:val="single" w:color="CED4E8" w:sz="1"/>
            </w:tcBorders>
            <w:shd w:fill="F8F9FC" w:val="clear"/>
            <w:tcMar>
              <w:top w:type="dxa" w:w="130"/>
              <w:left w:type="dxa" w:w="220"/>
              <w:bottom w:type="dxa" w:w="120"/>
              <w:right w:type="dxa" w:w="180"/>
            </w:tcMar>
          </w:tcPr>
          <w:p>
            <w:pPr>
              <w:spacing w:after="70" w:before="0"/>
              <w:jc w:val="left"/>
            </w:pPr>
            <w:r>
              <w:rPr>
                <w:rFonts w:ascii="Calibri" w:cs="Calibri" w:eastAsia="Calibri" w:hAnsi="Calibri"/>
                <w:b/>
                <w:bCs/>
                <w:i w:val="false"/>
                <w:iCs w:val="false"/>
                <w:caps w:val="false"/>
                <w:color w:val="3D5A99"/>
                <w:sz w:val="19"/>
                <w:szCs w:val="19"/>
              </w:rPr>
              <w:t xml:space="preserve">Your personalised answer:</w:t>
            </w:r>
          </w:p>
          <w:p>
            <w:pPr>
              <w:spacing w:after="90" w:before="40"/>
              <w:jc w:val="left"/>
            </w:pPr>
            <w:r>
              <w:rPr>
                <w:rFonts w:ascii="Calibri" w:cs="Calibri" w:eastAsia="Calibri" w:hAnsi="Calibri"/>
                <w:b w:val="false"/>
                <w:bCs w:val="false"/>
                <w:i w:val="false"/>
                <w:iCs w:val="false"/>
                <w:caps w:val="false"/>
                <w:color w:val="3A3A55"/>
                <w:sz w:val="22"/>
                <w:szCs w:val="22"/>
              </w:rPr>
              <w:t xml:space="preserve">At Wells Fargo you were simultaneously serving 7+ trading platform teams as Lead UI Architect. Use that experience:</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Explicit priority stack: I maintained a visible architecture work queue with all 7 teams' requests ranked by: (1) trading desk impact — anything affecting live market operations was highest priority; (2) blocking status — requests that blocked another team's sprint were next; (3) strategic value — work that advanced the shared platform (Nx Workspace, shared library) was above one-off requests.</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Transparent communication: every team could see the queue. When a new request arrived, I gave an immediate response: 'Here is where it sits in the current queue, here is the earliest I can commit to it, and here is what would need to change to move it up.'</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Escalation clarity: when two trading-desk-critical items conflicted, I surfaced the conflict to the VP of Engineering with a clear framing — 'I can prioritise X or Y this sprint, not both. Here are the consequences of each choice. Which do you want me to prioritise?' I never made that call unilaterally.</w:t>
            </w:r>
          </w:p>
        </w:tc>
      </w:tr>
    </w:tbl>
    <w:p>
      <w:pPr>
        <w:spacing w:after="45" w:before="45"/>
      </w:pPr>
      <w:r>
        <w:t xml:space="preserve"/>
      </w:r>
    </w:p>
    <w:p>
      <w:r>
        <w:br w:type="page"/>
      </w:r>
    </w:p>
    <w:p>
      <w:pPr>
        <w:pStyle w:val="Heading2"/>
        <w:shd w:fill="3D5A99" w:val="clear"/>
        <w:spacing w:after="150" w:before="320"/>
        <w:ind w:left="200"/>
      </w:pPr>
      <w:r>
        <w:rPr>
          <w:rFonts w:ascii="Calibri" w:cs="Calibri" w:eastAsia="Calibri" w:hAnsi="Calibri"/>
          <w:b/>
          <w:bCs/>
          <w:i w:val="false"/>
          <w:iCs w:val="false"/>
          <w:caps w:val="false"/>
          <w:color w:val="FFFFFF"/>
          <w:sz w:val="28"/>
          <w:szCs w:val="28"/>
        </w:rPr>
        <w:t xml:space="preserve">Theme D — Conflict &amp; Disagreement</w:t>
      </w:r>
    </w:p>
    <w:p>
      <w:pPr>
        <w:spacing w:after="45" w:before="4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ED4E8" w:sz="1"/>
              <w:left w:val="single" w:color="CED4E8" w:sz="1"/>
              <w:bottom w:val="none" w:color="FFFFFF" w:sz="0"/>
              <w:right w:val="single" w:color="CED4E8" w:sz="1"/>
            </w:tcBorders>
            <w:shd w:fill="1B2A4A" w:val="clear"/>
            <w:tcMar>
              <w:top w:type="dxa" w:w="120"/>
              <w:left w:type="dxa" w:w="220"/>
              <w:bottom w:type="dxa" w:w="100"/>
              <w:right w:type="dxa" w:w="180"/>
            </w:tcMar>
          </w:tcPr>
          <w:p>
            <w:pPr>
              <w:spacing w:after="50" w:before="0"/>
              <w:jc w:val="left"/>
            </w:pPr>
            <w:r>
              <w:rPr>
                <w:rFonts w:ascii="Calibri" w:cs="Calibri" w:eastAsia="Calibri" w:hAnsi="Calibri"/>
                <w:b/>
                <w:bCs/>
                <w:i w:val="false"/>
                <w:iCs w:val="false"/>
                <w:caps w:val="false"/>
                <w:color w:val="AABBFF"/>
                <w:sz w:val="21"/>
                <w:szCs w:val="21"/>
              </w:rPr>
              <w:t xml:space="preserve">Q: </w:t>
            </w:r>
            <w:r>
              <w:rPr>
                <w:rFonts w:ascii="Calibri" w:cs="Calibri" w:eastAsia="Calibri" w:hAnsi="Calibri"/>
                <w:b/>
                <w:bCs/>
                <w:i w:val="false"/>
                <w:iCs w:val="false"/>
                <w:caps w:val="false"/>
                <w:color w:val="FFFFFF"/>
                <w:sz w:val="21"/>
                <w:szCs w:val="21"/>
              </w:rPr>
              <w:t xml:space="preserve">Describe a significant technical disagreement with a peer. How was it resolved?</w:t>
            </w:r>
          </w:p>
          <w:p>
            <w:pPr>
              <w:spacing w:after="80" w:before="0"/>
              <w:jc w:val="right"/>
            </w:pPr>
            <w:r>
              <w:rPr>
                <w:rFonts w:ascii="Calibri" w:cs="Calibri" w:eastAsia="Calibri" w:hAnsi="Calibri"/>
                <w:b w:val="false"/>
                <w:bCs w:val="false"/>
                <w:i w:val="false"/>
                <w:iCs w:val="false"/>
                <w:caps w:val="false"/>
                <w:color w:val="C07A1A"/>
                <w:sz w:val="17"/>
                <w:szCs w:val="17"/>
              </w:rPr>
              <w:t xml:space="preserve">★ Medium</w:t>
            </w:r>
          </w:p>
        </w:tc>
      </w:tr>
      <w:tr>
        <w:tc>
          <w:tcPr>
            <w:tcW w:type="dxa" w:w="9360"/>
            <w:tcBorders>
              <w:top w:val="none" w:color="FFFFFF" w:sz="0"/>
              <w:left w:val="single" w:color="CED4E8" w:sz="1"/>
              <w:bottom w:val="single" w:color="CED4E8" w:sz="1"/>
              <w:right w:val="single" w:color="CED4E8" w:sz="1"/>
            </w:tcBorders>
            <w:shd w:fill="F8F9FC" w:val="clear"/>
            <w:tcMar>
              <w:top w:type="dxa" w:w="130"/>
              <w:left w:type="dxa" w:w="220"/>
              <w:bottom w:type="dxa" w:w="120"/>
              <w:right w:type="dxa" w:w="180"/>
            </w:tcMar>
          </w:tcPr>
          <w:p>
            <w:pPr>
              <w:spacing w:after="70" w:before="0"/>
              <w:jc w:val="left"/>
            </w:pPr>
            <w:r>
              <w:rPr>
                <w:rFonts w:ascii="Calibri" w:cs="Calibri" w:eastAsia="Calibri" w:hAnsi="Calibri"/>
                <w:b/>
                <w:bCs/>
                <w:i w:val="false"/>
                <w:iCs w:val="false"/>
                <w:caps w:val="false"/>
                <w:color w:val="3D5A99"/>
                <w:sz w:val="19"/>
                <w:szCs w:val="19"/>
              </w:rPr>
              <w:t xml:space="preserve">Your personalised answer:</w:t>
            </w:r>
          </w:p>
          <w:p>
            <w:pPr>
              <w:spacing w:after="90" w:before="40"/>
              <w:jc w:val="left"/>
            </w:pPr>
            <w:r>
              <w:rPr>
                <w:rFonts w:ascii="Calibri" w:cs="Calibri" w:eastAsia="Calibri" w:hAnsi="Calibri"/>
                <w:b w:val="false"/>
                <w:bCs w:val="false"/>
                <w:i w:val="false"/>
                <w:iCs w:val="false"/>
                <w:caps w:val="false"/>
                <w:color w:val="3A3A55"/>
                <w:sz w:val="22"/>
                <w:szCs w:val="22"/>
              </w:rPr>
              <w:t xml:space="preserve">Draw on your Angular standardisation work at Wells Fargo — when you standardised NgRx with the Facade pattern, there were almost certainly tech leads who preferred different approaches. Use a specific disagreement:</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The disagreement: a tech lead on one of the trading platforms wanted to implement a custom reactive store solution rather than adopt the NgRx Facade standard I had proposed. His position: NgRx was too much boilerplate for the relatively simple state in his platform. His concern was genuine and technically valid for small state.</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Moving from positions to interests: I asked him what he was actually trying to avoid — and it was not NgRx itself, it was the ceremony of actions/reducers/effects for simple toggle and filter state. That was a legitimate concern.</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Resolution: I introduced NgRx ComponentStore as a middle path for simple local state, while keeping the NgRx Facade pattern for the shared trading data that crossed component boundaries. He got the simplicity he needed for local state; the codebase got consistent boundaries for shared state.</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Outcome: he became one of the strongest advocates for the ComponentStore pattern and documented it in the shared standards as a recommended approach for local state. The disagreement produced a better standard than my original proposal.</w:t>
            </w:r>
          </w:p>
        </w:tc>
      </w:tr>
    </w:tbl>
    <w:p>
      <w:pPr>
        <w:spacing w:after="45" w:before="45"/>
      </w:pPr>
      <w:r>
        <w:t xml:space="preserve"/>
      </w:r>
    </w:p>
    <w:p>
      <w:r>
        <w:br w:type="page"/>
      </w:r>
    </w:p>
    <w:p>
      <w:pPr>
        <w:pStyle w:val="Heading2"/>
        <w:shd w:fill="5C3D99" w:val="clear"/>
        <w:spacing w:after="150" w:before="320"/>
        <w:ind w:left="200"/>
      </w:pPr>
      <w:r>
        <w:rPr>
          <w:rFonts w:ascii="Calibri" w:cs="Calibri" w:eastAsia="Calibri" w:hAnsi="Calibri"/>
          <w:b/>
          <w:bCs/>
          <w:i w:val="false"/>
          <w:iCs w:val="false"/>
          <w:caps w:val="false"/>
          <w:color w:val="FFFFFF"/>
          <w:sz w:val="28"/>
          <w:szCs w:val="28"/>
        </w:rPr>
        <w:t xml:space="preserve">Theme E — Culture Fit, Growth &amp; Why ClickUp</w:t>
      </w:r>
    </w:p>
    <w:p>
      <w:pPr>
        <w:spacing w:after="45" w:before="4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ED4E8" w:sz="1"/>
              <w:left w:val="single" w:color="CED4E8" w:sz="1"/>
              <w:bottom w:val="none" w:color="FFFFFF" w:sz="0"/>
              <w:right w:val="single" w:color="CED4E8" w:sz="1"/>
            </w:tcBorders>
            <w:shd w:fill="1B2A4A" w:val="clear"/>
            <w:tcMar>
              <w:top w:type="dxa" w:w="120"/>
              <w:left w:type="dxa" w:w="220"/>
              <w:bottom w:type="dxa" w:w="100"/>
              <w:right w:type="dxa" w:w="180"/>
            </w:tcMar>
          </w:tcPr>
          <w:p>
            <w:pPr>
              <w:spacing w:after="50" w:before="0"/>
              <w:jc w:val="left"/>
            </w:pPr>
            <w:r>
              <w:rPr>
                <w:rFonts w:ascii="Calibri" w:cs="Calibri" w:eastAsia="Calibri" w:hAnsi="Calibri"/>
                <w:b/>
                <w:bCs/>
                <w:i w:val="false"/>
                <w:iCs w:val="false"/>
                <w:caps w:val="false"/>
                <w:color w:val="AABBFF"/>
                <w:sz w:val="21"/>
                <w:szCs w:val="21"/>
              </w:rPr>
              <w:t xml:space="preserve">Q: </w:t>
            </w:r>
            <w:r>
              <w:rPr>
                <w:rFonts w:ascii="Calibri" w:cs="Calibri" w:eastAsia="Calibri" w:hAnsi="Calibri"/>
                <w:b/>
                <w:bCs/>
                <w:i w:val="false"/>
                <w:iCs w:val="false"/>
                <w:caps w:val="false"/>
                <w:color w:val="FFFFFF"/>
                <w:sz w:val="21"/>
                <w:szCs w:val="21"/>
              </w:rPr>
              <w:t xml:space="preserve">Why ClickUp specifically? Why not a fintech company given your Wells Fargo background?</w:t>
            </w:r>
          </w:p>
          <w:p>
            <w:pPr>
              <w:spacing w:after="80" w:before="0"/>
              <w:jc w:val="right"/>
            </w:pPr>
            <w:r>
              <w:rPr>
                <w:rFonts w:ascii="Calibri" w:cs="Calibri" w:eastAsia="Calibri" w:hAnsi="Calibri"/>
                <w:b w:val="false"/>
                <w:bCs w:val="false"/>
                <w:i w:val="false"/>
                <w:iCs w:val="false"/>
                <w:caps w:val="false"/>
                <w:color w:val="C07A1A"/>
                <w:sz w:val="17"/>
                <w:szCs w:val="17"/>
              </w:rPr>
              <w:t xml:space="preserve">★ Medium</w:t>
            </w:r>
          </w:p>
        </w:tc>
      </w:tr>
      <w:tr>
        <w:tc>
          <w:tcPr>
            <w:tcW w:type="dxa" w:w="9360"/>
            <w:tcBorders>
              <w:top w:val="none" w:color="FFFFFF" w:sz="0"/>
              <w:left w:val="single" w:color="CED4E8" w:sz="1"/>
              <w:bottom w:val="single" w:color="CED4E8" w:sz="1"/>
              <w:right w:val="single" w:color="CED4E8" w:sz="1"/>
            </w:tcBorders>
            <w:shd w:fill="F8F9FC" w:val="clear"/>
            <w:tcMar>
              <w:top w:type="dxa" w:w="130"/>
              <w:left w:type="dxa" w:w="220"/>
              <w:bottom w:type="dxa" w:w="120"/>
              <w:right w:type="dxa" w:w="180"/>
            </w:tcMar>
          </w:tcPr>
          <w:p>
            <w:pPr>
              <w:spacing w:after="70" w:before="0"/>
              <w:jc w:val="left"/>
            </w:pPr>
            <w:r>
              <w:rPr>
                <w:rFonts w:ascii="Calibri" w:cs="Calibri" w:eastAsia="Calibri" w:hAnsi="Calibri"/>
                <w:b/>
                <w:bCs/>
                <w:i w:val="false"/>
                <w:iCs w:val="false"/>
                <w:caps w:val="false"/>
                <w:color w:val="3D5A99"/>
                <w:sz w:val="19"/>
                <w:szCs w:val="19"/>
              </w:rPr>
              <w:t xml:space="preserve">Your personalised answer:</w:t>
            </w:r>
          </w:p>
          <w:p>
            <w:pPr>
              <w:spacing w:after="90" w:before="40"/>
              <w:jc w:val="left"/>
            </w:pPr>
            <w:r>
              <w:rPr>
                <w:rFonts w:ascii="Calibri" w:cs="Calibri" w:eastAsia="Calibri" w:hAnsi="Calibri"/>
                <w:b w:val="false"/>
                <w:bCs w:val="false"/>
                <w:i w:val="false"/>
                <w:iCs w:val="false"/>
                <w:caps w:val="false"/>
                <w:color w:val="3A3A55"/>
                <w:sz w:val="22"/>
                <w:szCs w:val="22"/>
              </w:rPr>
              <w:t xml:space="preserve">This must be specific to ClickUp — generic answers fail here. Build your answer around these genuine connections:</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Technical challenge alignment: I have spent the last year leading an Angular v11→v21 migration at enterprise scale. ClickUp is on Angular 20+ and is actively migrating to the signals architecture. I want to work on the signals-at-scale problem with a product that serves millions of users — not just thousands of traders. The scale difference and the consumer product context are both things I want in my next role.</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Product surface: ClickUp's real-time Docs collaboration, live task updates, and the multi-panel layout are technically analogous to the real-time trading dashboards I built at Wells Fargo — but with a magnitude more users and a fundamentally different UX challenge. That combination of familiar technical patterns and new scale is exactly the kind of challenge I want.</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Micro-frontend at product scale: I have built Module Federation at enterprise internal-tool scale. ClickUp operates it at consumer SaaS scale — independent feature teams, global CDN, millions of concurrent users. That is a different problem and I want to solve it.</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Angular depth: my entire recent career is Angular-first. Wells Fargo v11→v21, New York Life Angular 16, ETS Angular/React. ClickUp is one of the most serious Angular shops in the product space. The alignment is genuine, not manufactured.</w:t>
            </w:r>
          </w:p>
        </w:tc>
      </w:tr>
    </w:tbl>
    <w:p>
      <w:pPr>
        <w:spacing w:after="45" w:before="4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ED4E8" w:sz="1"/>
              <w:left w:val="single" w:color="CED4E8" w:sz="1"/>
              <w:bottom w:val="none" w:color="FFFFFF" w:sz="0"/>
              <w:right w:val="single" w:color="CED4E8" w:sz="1"/>
            </w:tcBorders>
            <w:shd w:fill="1B2A4A" w:val="clear"/>
            <w:tcMar>
              <w:top w:type="dxa" w:w="120"/>
              <w:left w:type="dxa" w:w="220"/>
              <w:bottom w:type="dxa" w:w="100"/>
              <w:right w:type="dxa" w:w="180"/>
            </w:tcMar>
          </w:tcPr>
          <w:p>
            <w:pPr>
              <w:spacing w:after="50" w:before="0"/>
              <w:jc w:val="left"/>
            </w:pPr>
            <w:r>
              <w:rPr>
                <w:rFonts w:ascii="Calibri" w:cs="Calibri" w:eastAsia="Calibri" w:hAnsi="Calibri"/>
                <w:b/>
                <w:bCs/>
                <w:i w:val="false"/>
                <w:iCs w:val="false"/>
                <w:caps w:val="false"/>
                <w:color w:val="AABBFF"/>
                <w:sz w:val="21"/>
                <w:szCs w:val="21"/>
              </w:rPr>
              <w:t xml:space="preserve">Q: </w:t>
            </w:r>
            <w:r>
              <w:rPr>
                <w:rFonts w:ascii="Calibri" w:cs="Calibri" w:eastAsia="Calibri" w:hAnsi="Calibri"/>
                <w:b/>
                <w:bCs/>
                <w:i w:val="false"/>
                <w:iCs w:val="false"/>
                <w:caps w:val="false"/>
                <w:color w:val="FFFFFF"/>
                <w:sz w:val="21"/>
                <w:szCs w:val="21"/>
              </w:rPr>
              <w:t xml:space="preserve">What's your biggest professional failure? What did you learn?</w:t>
            </w:r>
          </w:p>
          <w:p>
            <w:pPr>
              <w:spacing w:after="80" w:before="0"/>
              <w:jc w:val="right"/>
            </w:pPr>
            <w:r>
              <w:rPr>
                <w:rFonts w:ascii="Calibri" w:cs="Calibri" w:eastAsia="Calibri" w:hAnsi="Calibri"/>
                <w:b w:val="false"/>
                <w:bCs w:val="false"/>
                <w:i w:val="false"/>
                <w:iCs w:val="false"/>
                <w:caps w:val="false"/>
                <w:color w:val="B03030"/>
                <w:sz w:val="17"/>
                <w:szCs w:val="17"/>
              </w:rPr>
              <w:t xml:space="preserve">★ Hard</w:t>
            </w:r>
          </w:p>
        </w:tc>
      </w:tr>
      <w:tr>
        <w:tc>
          <w:tcPr>
            <w:tcW w:type="dxa" w:w="9360"/>
            <w:tcBorders>
              <w:top w:val="none" w:color="FFFFFF" w:sz="0"/>
              <w:left w:val="single" w:color="CED4E8" w:sz="1"/>
              <w:bottom w:val="single" w:color="CED4E8" w:sz="1"/>
              <w:right w:val="single" w:color="CED4E8" w:sz="1"/>
            </w:tcBorders>
            <w:shd w:fill="F8F9FC" w:val="clear"/>
            <w:tcMar>
              <w:top w:type="dxa" w:w="130"/>
              <w:left w:type="dxa" w:w="220"/>
              <w:bottom w:type="dxa" w:w="120"/>
              <w:right w:type="dxa" w:w="180"/>
            </w:tcMar>
          </w:tcPr>
          <w:p>
            <w:pPr>
              <w:spacing w:after="70" w:before="0"/>
              <w:jc w:val="left"/>
            </w:pPr>
            <w:r>
              <w:rPr>
                <w:rFonts w:ascii="Calibri" w:cs="Calibri" w:eastAsia="Calibri" w:hAnsi="Calibri"/>
                <w:b/>
                <w:bCs/>
                <w:i w:val="false"/>
                <w:iCs w:val="false"/>
                <w:caps w:val="false"/>
                <w:color w:val="3D5A99"/>
                <w:sz w:val="19"/>
                <w:szCs w:val="19"/>
              </w:rPr>
              <w:t xml:space="preserve">Your personalised answer:</w:t>
            </w:r>
          </w:p>
          <w:p>
            <w:pPr>
              <w:spacing w:after="90" w:before="40"/>
              <w:jc w:val="left"/>
            </w:pPr>
            <w:r>
              <w:rPr>
                <w:rFonts w:ascii="Calibri" w:cs="Calibri" w:eastAsia="Calibri" w:hAnsi="Calibri"/>
                <w:b w:val="false"/>
                <w:bCs w:val="false"/>
                <w:i w:val="false"/>
                <w:iCs w:val="false"/>
                <w:caps w:val="false"/>
                <w:color w:val="3A3A55"/>
                <w:sz w:val="22"/>
                <w:szCs w:val="22"/>
              </w:rPr>
              <w:t xml:space="preserve">Use Story 1 (the parallel migration decision) with full honesty. Key requirements:</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Real impact: 'The parallel approach cost approximately 3 weeks of delay across three teams and required unplanned coordination that frustrated team leads who had been counting on independent progress.'</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Full ownership: 'I made the call to skip the dependency audit to hit the timeline. That was my decision — not the timeline's. I could have pushed back on the timeline or reduced scope. I chose neither and took a shortcut instead.'</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Permanent change: 'I now mandate a migration spike week on every multi-team upgrade initiative. It is in our written standards at Wells Fargo. I have not repeated that specific mistake.'</w:t>
            </w:r>
          </w:p>
          <w:p>
            <w:pPr>
              <w:spacing w:after="45" w:before="45"/>
            </w:pPr>
            <w:r>
              <w:t xml:space="preserve"/>
            </w:r>
          </w:p>
          <w:p>
            <w:pPr>
              <w:spacing w:after="90" w:before="40"/>
              <w:jc w:val="left"/>
            </w:pPr>
            <w:r>
              <w:rPr>
                <w:rFonts w:ascii="Calibri" w:cs="Calibri" w:eastAsia="Calibri" w:hAnsi="Calibri"/>
                <w:b w:val="false"/>
                <w:bCs w:val="false"/>
                <w:i/>
                <w:iCs/>
                <w:caps w:val="false"/>
                <w:color w:val="7A8A99"/>
                <w:sz w:val="22"/>
                <w:szCs w:val="22"/>
              </w:rPr>
              <w:t xml:space="preserve">Do not use a humble-brag ('I worked too hard'). Do not use a team failure you were peripheral to. Use a real decision you made that had real consequences and that you genuinely own. Interviewers at ClickUp have strong calibration for authenticity.</w:t>
            </w:r>
          </w:p>
        </w:tc>
      </w:tr>
    </w:tbl>
    <w:p>
      <w:pPr>
        <w:spacing w:after="45" w:before="4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ED4E8" w:sz="1"/>
              <w:left w:val="single" w:color="CED4E8" w:sz="1"/>
              <w:bottom w:val="none" w:color="FFFFFF" w:sz="0"/>
              <w:right w:val="single" w:color="CED4E8" w:sz="1"/>
            </w:tcBorders>
            <w:shd w:fill="1B2A4A" w:val="clear"/>
            <w:tcMar>
              <w:top w:type="dxa" w:w="120"/>
              <w:left w:type="dxa" w:w="220"/>
              <w:bottom w:type="dxa" w:w="100"/>
              <w:right w:type="dxa" w:w="180"/>
            </w:tcMar>
          </w:tcPr>
          <w:p>
            <w:pPr>
              <w:spacing w:after="50" w:before="0"/>
              <w:jc w:val="left"/>
            </w:pPr>
            <w:r>
              <w:rPr>
                <w:rFonts w:ascii="Calibri" w:cs="Calibri" w:eastAsia="Calibri" w:hAnsi="Calibri"/>
                <w:b/>
                <w:bCs/>
                <w:i w:val="false"/>
                <w:iCs w:val="false"/>
                <w:caps w:val="false"/>
                <w:color w:val="AABBFF"/>
                <w:sz w:val="21"/>
                <w:szCs w:val="21"/>
              </w:rPr>
              <w:t xml:space="preserve">Q: </w:t>
            </w:r>
            <w:r>
              <w:rPr>
                <w:rFonts w:ascii="Calibri" w:cs="Calibri" w:eastAsia="Calibri" w:hAnsi="Calibri"/>
                <w:b/>
                <w:bCs/>
                <w:i w:val="false"/>
                <w:iCs w:val="false"/>
                <w:caps w:val="false"/>
                <w:color w:val="FFFFFF"/>
                <w:sz w:val="21"/>
                <w:szCs w:val="21"/>
              </w:rPr>
              <w:t xml:space="preserve">How do you stay current with frontend development given your breadth of experience?</w:t>
            </w:r>
          </w:p>
          <w:p>
            <w:pPr>
              <w:spacing w:after="80" w:before="0"/>
              <w:jc w:val="right"/>
            </w:pPr>
            <w:r>
              <w:rPr>
                <w:rFonts w:ascii="Calibri" w:cs="Calibri" w:eastAsia="Calibri" w:hAnsi="Calibri"/>
                <w:b w:val="false"/>
                <w:bCs w:val="false"/>
                <w:i w:val="false"/>
                <w:iCs w:val="false"/>
                <w:caps w:val="false"/>
                <w:color w:val="1A7A42"/>
                <w:sz w:val="17"/>
                <w:szCs w:val="17"/>
              </w:rPr>
              <w:t xml:space="preserve">★ Easy</w:t>
            </w:r>
          </w:p>
        </w:tc>
      </w:tr>
      <w:tr>
        <w:tc>
          <w:tcPr>
            <w:tcW w:type="dxa" w:w="9360"/>
            <w:tcBorders>
              <w:top w:val="none" w:color="FFFFFF" w:sz="0"/>
              <w:left w:val="single" w:color="CED4E8" w:sz="1"/>
              <w:bottom w:val="single" w:color="CED4E8" w:sz="1"/>
              <w:right w:val="single" w:color="CED4E8" w:sz="1"/>
            </w:tcBorders>
            <w:shd w:fill="F8F9FC" w:val="clear"/>
            <w:tcMar>
              <w:top w:type="dxa" w:w="130"/>
              <w:left w:type="dxa" w:w="220"/>
              <w:bottom w:type="dxa" w:w="120"/>
              <w:right w:type="dxa" w:w="180"/>
            </w:tcMar>
          </w:tcPr>
          <w:p>
            <w:pPr>
              <w:spacing w:after="70" w:before="0"/>
              <w:jc w:val="left"/>
            </w:pPr>
            <w:r>
              <w:rPr>
                <w:rFonts w:ascii="Calibri" w:cs="Calibri" w:eastAsia="Calibri" w:hAnsi="Calibri"/>
                <w:b/>
                <w:bCs/>
                <w:i w:val="false"/>
                <w:iCs w:val="false"/>
                <w:caps w:val="false"/>
                <w:color w:val="3D5A99"/>
                <w:sz w:val="19"/>
                <w:szCs w:val="19"/>
              </w:rPr>
              <w:t xml:space="preserve">Your personalised answer:</w:t>
            </w:r>
          </w:p>
          <w:p>
            <w:pPr>
              <w:spacing w:after="90" w:before="40"/>
              <w:jc w:val="left"/>
            </w:pPr>
            <w:r>
              <w:rPr>
                <w:rFonts w:ascii="Calibri" w:cs="Calibri" w:eastAsia="Calibri" w:hAnsi="Calibri"/>
                <w:b w:val="false"/>
                <w:bCs w:val="false"/>
                <w:i w:val="false"/>
                <w:iCs w:val="false"/>
                <w:caps w:val="false"/>
                <w:color w:val="3A3A55"/>
                <w:sz w:val="22"/>
                <w:szCs w:val="22"/>
              </w:rPr>
              <w:t xml:space="preserve">You already have current evidence to reference — use it:</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Databricks certifications in 2025 show you invest in formal learning even at Principal level — not just reading blogs.</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Angular v11→v21 migration means you have been tracking every major Angular release actively, not passively. You know the signals RFC, the standalone component migration, the control flow syntax changes — from doing, not from reading.</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GitHub Copilot and Story Weaver GenAI integration at Wells Fargo shows you evaluate and adopt new tooling in production contexts, not just toy projects.</w:t>
            </w:r>
          </w:p>
          <w:p>
            <w:pPr>
              <w:pStyle w:val="ListParagraph"/>
              <w:numPr>
                <w:ilvl w:val="0"/>
                <w:numId w:val="2"/>
              </w:numPr>
              <w:spacing w:after="30" w:before="30"/>
              <w:ind w:left="540" w:hanging="360"/>
            </w:pPr>
            <w:r>
              <w:rPr>
                <w:rFonts w:ascii="Calibri" w:cs="Calibri" w:eastAsia="Calibri" w:hAnsi="Calibri"/>
                <w:b w:val="false"/>
                <w:bCs w:val="false"/>
                <w:i w:val="false"/>
                <w:iCs w:val="false"/>
                <w:caps w:val="false"/>
                <w:color w:val="3A3A55"/>
                <w:sz w:val="21"/>
                <w:szCs w:val="21"/>
              </w:rPr>
              <w:t xml:space="preserve">Specific current focus for ClickUp: 'I have been deep in Angular 20's signals architecture and zoneless change detection for the past 3 months. I specifically want to apply the signals migration patterns I learned at Wells Fargo at ClickUp's user scale — the problem is similar but the constraints are different and I want to solve it.'</w:t>
            </w:r>
          </w:p>
        </w:tc>
      </w:tr>
    </w:tbl>
    <w:p>
      <w:pPr>
        <w:spacing w:after="45" w:before="45"/>
      </w:pPr>
      <w:r>
        <w:t xml:space="preserve"/>
      </w:r>
    </w:p>
    <w:p>
      <w:r>
        <w:br w:type="page"/>
      </w:r>
    </w:p>
    <w:p>
      <w:pPr>
        <w:pStyle w:val="Heading1"/>
        <w:shd w:fill="1B2A4A" w:val="clear"/>
        <w:spacing w:after="200" w:before="440"/>
        <w:ind w:left="240" w:right="240"/>
      </w:pPr>
      <w:r>
        <w:rPr>
          <w:rFonts w:ascii="Calibri" w:cs="Calibri" w:eastAsia="Calibri" w:hAnsi="Calibri"/>
          <w:b/>
          <w:bCs/>
          <w:i w:val="false"/>
          <w:iCs w:val="false"/>
          <w:caps w:val="false"/>
          <w:color w:val="FFFFFF"/>
          <w:sz w:val="36"/>
          <w:szCs w:val="36"/>
        </w:rPr>
        <w:t xml:space="preserve">Part 4 — Questions to Ask ClickUp</w:t>
      </w:r>
    </w:p>
    <w:p>
      <w:pPr>
        <w:spacing w:after="90" w:before="40"/>
        <w:jc w:val="left"/>
      </w:pPr>
      <w:r>
        <w:rPr>
          <w:rFonts w:ascii="Calibri" w:cs="Calibri" w:eastAsia="Calibri" w:hAnsi="Calibri"/>
          <w:b w:val="false"/>
          <w:bCs w:val="false"/>
          <w:i w:val="false"/>
          <w:iCs w:val="false"/>
          <w:caps w:val="false"/>
          <w:color w:val="3A3A55"/>
          <w:sz w:val="22"/>
          <w:szCs w:val="22"/>
        </w:rPr>
        <w:t xml:space="preserve">These are written specifically for your background. Each question references what you have built — signalling that you are evaluating ClickUp as a technical peer, not just hoping to be hired.</w:t>
      </w:r>
    </w:p>
    <w:p>
      <w:pPr>
        <w:spacing w:after="45" w:before="45"/>
      </w:pPr>
      <w:r>
        <w:t xml:space="preserve"/>
      </w:r>
    </w:p>
    <w:p>
      <w:pPr>
        <w:pStyle w:val="Heading3"/>
        <w:pBdr>
          <w:bottom w:val="single" w:color="5C3D99" w:sz="3" w:space="3"/>
        </w:pBdr>
        <w:spacing w:after="100" w:before="260"/>
      </w:pPr>
      <w:r>
        <w:rPr>
          <w:rFonts w:ascii="Calibri" w:cs="Calibri" w:eastAsia="Calibri" w:hAnsi="Calibri"/>
          <w:b/>
          <w:bCs/>
          <w:i w:val="false"/>
          <w:iCs w:val="false"/>
          <w:caps w:val="false"/>
          <w:color w:val="5C3D99"/>
          <w:sz w:val="24"/>
          <w:szCs w:val="24"/>
        </w:rPr>
        <w:t xml:space="preserve">For the Engineering Manager / VP Engineering</w:t>
      </w:r>
    </w:p>
    <w:p>
      <w:pPr>
        <w:spacing w:after="45" w:before="4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W w:type="dxa" w:w="4800"/>
            <w:tcBorders>
              <w:top w:val="single" w:color="CED4E8" w:sz="1"/>
              <w:left w:val="single" w:color="CED4E8" w:sz="1"/>
              <w:bottom w:val="single" w:color="CED4E8" w:sz="1"/>
              <w:right w:val="single" w:color="CED4E8" w:sz="1"/>
            </w:tcBorders>
            <w:shd w:fill="1B2A4A" w:val="clear"/>
            <w:tcMar>
              <w:top w:type="dxa" w:w="80"/>
              <w:left w:type="dxa" w:w="120"/>
              <w:bottom w:type="dxa" w:w="80"/>
              <w:right w:type="dxa" w:w="120"/>
            </w:tcMar>
          </w:tcPr>
          <w:p>
            <w:pPr>
              <w:spacing w:after="80" w:before="0"/>
              <w:jc w:val="left"/>
            </w:pPr>
            <w:r>
              <w:rPr>
                <w:rFonts w:ascii="Calibri" w:cs="Calibri" w:eastAsia="Calibri" w:hAnsi="Calibri"/>
                <w:b/>
                <w:bCs/>
                <w:i w:val="false"/>
                <w:iCs w:val="false"/>
                <w:caps w:val="false"/>
                <w:color w:val="FFFFFF"/>
                <w:sz w:val="19"/>
                <w:szCs w:val="19"/>
              </w:rPr>
              <w:t xml:space="preserve">Your question</w:t>
            </w:r>
          </w:p>
        </w:tc>
        <w:tc>
          <w:tcPr>
            <w:tcW w:type="dxa" w:w="4560"/>
            <w:tcBorders>
              <w:top w:val="single" w:color="CED4E8" w:sz="1"/>
              <w:left w:val="single" w:color="CED4E8" w:sz="1"/>
              <w:bottom w:val="single" w:color="CED4E8" w:sz="1"/>
              <w:right w:val="single" w:color="CED4E8" w:sz="1"/>
            </w:tcBorders>
            <w:shd w:fill="1B2A4A" w:val="clear"/>
            <w:tcMar>
              <w:top w:type="dxa" w:w="80"/>
              <w:left w:type="dxa" w:w="120"/>
              <w:bottom w:type="dxa" w:w="80"/>
              <w:right w:type="dxa" w:w="120"/>
            </w:tcMar>
          </w:tcPr>
          <w:p>
            <w:pPr>
              <w:spacing w:after="80" w:before="0"/>
              <w:jc w:val="left"/>
            </w:pPr>
            <w:r>
              <w:rPr>
                <w:rFonts w:ascii="Calibri" w:cs="Calibri" w:eastAsia="Calibri" w:hAnsi="Calibri"/>
                <w:b/>
                <w:bCs/>
                <w:i w:val="false"/>
                <w:iCs w:val="false"/>
                <w:caps w:val="false"/>
                <w:color w:val="FFFFFF"/>
                <w:sz w:val="19"/>
                <w:szCs w:val="19"/>
              </w:rPr>
              <w:t xml:space="preserve">Why it works for your profile</w:t>
            </w:r>
          </w:p>
        </w:tc>
      </w:tr>
      <w:tr>
        <w:tc>
          <w:tcPr>
            <w:tcW w:type="dxa" w:w="4800"/>
            <w:tcBorders>
              <w:top w:val="single" w:color="CED4E8" w:sz="1"/>
              <w:left w:val="single" w:color="CED4E8" w:sz="1"/>
              <w:bottom w:val="single" w:color="CED4E8" w:sz="1"/>
              <w:right w:val="single" w:color="CED4E8" w:sz="1"/>
            </w:tcBorders>
            <w:shd w:fill="F8F9FC" w:val="clear"/>
            <w:tcMar>
              <w:top w:type="dxa" w:w="70"/>
              <w:left w:type="dxa" w:w="120"/>
              <w:bottom w:type="dxa" w:w="70"/>
              <w:right w:type="dxa" w:w="120"/>
            </w:tcMar>
          </w:tcPr>
          <w:p>
            <w:pPr>
              <w:spacing w:after="80" w:before="0"/>
              <w:jc w:val="left"/>
            </w:pPr>
            <w:r>
              <w:rPr>
                <w:rFonts w:ascii="Calibri" w:cs="Calibri" w:eastAsia="Calibri" w:hAnsi="Calibri"/>
                <w:b/>
                <w:bCs/>
                <w:i w:val="false"/>
                <w:iCs w:val="false"/>
                <w:caps w:val="false"/>
                <w:color w:val="1B2A4A"/>
                <w:sz w:val="19"/>
                <w:szCs w:val="19"/>
              </w:rPr>
              <w:t xml:space="preserve">I led a v11→v21 Angular migration across 7 applications at Wells Fargo. Where does ClickUp currently sit on the Angular 20+ signals adoption curve — and what has been the biggest unexpected challenge so far?</w:t>
            </w:r>
          </w:p>
        </w:tc>
        <w:tc>
          <w:tcPr>
            <w:tcW w:type="dxa" w:w="4560"/>
            <w:tcBorders>
              <w:top w:val="single" w:color="CED4E8" w:sz="1"/>
              <w:left w:val="single" w:color="CED4E8" w:sz="1"/>
              <w:bottom w:val="single" w:color="CED4E8" w:sz="1"/>
              <w:right w:val="single" w:color="CED4E8" w:sz="1"/>
            </w:tcBorders>
            <w:shd w:fill="F8F9FC" w:val="clear"/>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caps w:val="false"/>
                <w:color w:val="3A3A55"/>
                <w:sz w:val="19"/>
                <w:szCs w:val="19"/>
              </w:rPr>
              <w:t xml:space="preserve">Shows your migration depth immediately. Invites them to share real technical challenges you can demonstrate you've solved.</w:t>
            </w:r>
          </w:p>
        </w:tc>
      </w:tr>
      <w:tr>
        <w:tc>
          <w:tcPr>
            <w:tcW w:type="dxa" w:w="4800"/>
            <w:tcBorders>
              <w:top w:val="single" w:color="CED4E8" w:sz="1"/>
              <w:left w:val="single" w:color="CED4E8" w:sz="1"/>
              <w:bottom w:val="single" w:color="CED4E8" w:sz="1"/>
              <w:right w:val="single" w:color="CED4E8" w:sz="1"/>
            </w:tcBorders>
            <w:shd w:fill="FFFFFF" w:val="clear"/>
            <w:tcMar>
              <w:top w:type="dxa" w:w="70"/>
              <w:left w:type="dxa" w:w="120"/>
              <w:bottom w:type="dxa" w:w="70"/>
              <w:right w:type="dxa" w:w="120"/>
            </w:tcMar>
          </w:tcPr>
          <w:p>
            <w:pPr>
              <w:spacing w:after="80" w:before="0"/>
              <w:jc w:val="left"/>
            </w:pPr>
            <w:r>
              <w:rPr>
                <w:rFonts w:ascii="Calibri" w:cs="Calibri" w:eastAsia="Calibri" w:hAnsi="Calibri"/>
                <w:b/>
                <w:bCs/>
                <w:i w:val="false"/>
                <w:iCs w:val="false"/>
                <w:caps w:val="false"/>
                <w:color w:val="1B2A4A"/>
                <w:sz w:val="19"/>
                <w:szCs w:val="19"/>
              </w:rPr>
              <w:t xml:space="preserve">I've built Module Federation across 7 trading platforms with Nx Workspace. How does ClickUp's current micro-frontend architecture compare — are teams fully independent in deployment, or are there still shared release gates?</w:t>
            </w:r>
          </w:p>
        </w:tc>
        <w:tc>
          <w:tcPr>
            <w:tcW w:type="dxa" w:w="4560"/>
            <w:tcBorders>
              <w:top w:val="single" w:color="CED4E8" w:sz="1"/>
              <w:left w:val="single" w:color="CED4E8" w:sz="1"/>
              <w:bottom w:val="single" w:color="CED4E8" w:sz="1"/>
              <w:right w:val="single" w:color="CED4E8" w:sz="1"/>
            </w:tcBorders>
            <w:shd w:fill="FFFFFF" w:val="clear"/>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caps w:val="false"/>
                <w:color w:val="3A3A55"/>
                <w:sz w:val="19"/>
                <w:szCs w:val="19"/>
              </w:rPr>
              <w:t xml:space="preserve">Shows your MFE experience. Surfaces real architecture detail about ClickUp's current state so you know what you'd be walking into.</w:t>
            </w:r>
          </w:p>
        </w:tc>
      </w:tr>
      <w:tr>
        <w:tc>
          <w:tcPr>
            <w:tcW w:type="dxa" w:w="4800"/>
            <w:tcBorders>
              <w:top w:val="single" w:color="CED4E8" w:sz="1"/>
              <w:left w:val="single" w:color="CED4E8" w:sz="1"/>
              <w:bottom w:val="single" w:color="CED4E8" w:sz="1"/>
              <w:right w:val="single" w:color="CED4E8" w:sz="1"/>
            </w:tcBorders>
            <w:shd w:fill="F8F9FC" w:val="clear"/>
            <w:tcMar>
              <w:top w:type="dxa" w:w="70"/>
              <w:left w:type="dxa" w:w="120"/>
              <w:bottom w:type="dxa" w:w="70"/>
              <w:right w:type="dxa" w:w="120"/>
            </w:tcMar>
          </w:tcPr>
          <w:p>
            <w:pPr>
              <w:spacing w:after="80" w:before="0"/>
              <w:jc w:val="left"/>
            </w:pPr>
            <w:r>
              <w:rPr>
                <w:rFonts w:ascii="Calibri" w:cs="Calibri" w:eastAsia="Calibri" w:hAnsi="Calibri"/>
                <w:b/>
                <w:bCs/>
                <w:i w:val="false"/>
                <w:iCs w:val="false"/>
                <w:caps w:val="false"/>
                <w:color w:val="1B2A4A"/>
                <w:sz w:val="19"/>
                <w:szCs w:val="19"/>
              </w:rPr>
              <w:t xml:space="preserve">I standardised Angular patterns across teams at Wells Fargo — NgRx Facade, shared component library, CI/CD standards. At ClickUp, who owns cross-team frontend standards today, and how are they enforced versus recommended?</w:t>
            </w:r>
          </w:p>
        </w:tc>
        <w:tc>
          <w:tcPr>
            <w:tcW w:type="dxa" w:w="4560"/>
            <w:tcBorders>
              <w:top w:val="single" w:color="CED4E8" w:sz="1"/>
              <w:left w:val="single" w:color="CED4E8" w:sz="1"/>
              <w:bottom w:val="single" w:color="CED4E8" w:sz="1"/>
              <w:right w:val="single" w:color="CED4E8" w:sz="1"/>
            </w:tcBorders>
            <w:shd w:fill="F8F9FC" w:val="clear"/>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caps w:val="false"/>
                <w:color w:val="3A3A55"/>
                <w:sz w:val="19"/>
                <w:szCs w:val="19"/>
              </w:rPr>
              <w:t xml:space="preserve">Shows your cross-team governance experience. Clarifies your operating context for the role.</w:t>
            </w:r>
          </w:p>
        </w:tc>
      </w:tr>
      <w:tr>
        <w:tc>
          <w:tcPr>
            <w:tcW w:type="dxa" w:w="4800"/>
            <w:tcBorders>
              <w:top w:val="single" w:color="CED4E8" w:sz="1"/>
              <w:left w:val="single" w:color="CED4E8" w:sz="1"/>
              <w:bottom w:val="single" w:color="CED4E8" w:sz="1"/>
              <w:right w:val="single" w:color="CED4E8" w:sz="1"/>
            </w:tcBorders>
            <w:shd w:fill="FFFFFF" w:val="clear"/>
            <w:tcMar>
              <w:top w:type="dxa" w:w="70"/>
              <w:left w:type="dxa" w:w="120"/>
              <w:bottom w:type="dxa" w:w="70"/>
              <w:right w:type="dxa" w:w="120"/>
            </w:tcMar>
          </w:tcPr>
          <w:p>
            <w:pPr>
              <w:spacing w:after="80" w:before="0"/>
              <w:jc w:val="left"/>
            </w:pPr>
            <w:r>
              <w:rPr>
                <w:rFonts w:ascii="Calibri" w:cs="Calibri" w:eastAsia="Calibri" w:hAnsi="Calibri"/>
                <w:b/>
                <w:bCs/>
                <w:i w:val="false"/>
                <w:iCs w:val="false"/>
                <w:caps w:val="false"/>
                <w:color w:val="1B2A4A"/>
                <w:sz w:val="19"/>
                <w:szCs w:val="19"/>
              </w:rPr>
              <w:t xml:space="preserve">What does success look like in the first 90 days — and what is the single most important thing you'd want a new Principal to ship or establish in that window?</w:t>
            </w:r>
          </w:p>
        </w:tc>
        <w:tc>
          <w:tcPr>
            <w:tcW w:type="dxa" w:w="4560"/>
            <w:tcBorders>
              <w:top w:val="single" w:color="CED4E8" w:sz="1"/>
              <w:left w:val="single" w:color="CED4E8" w:sz="1"/>
              <w:bottom w:val="single" w:color="CED4E8" w:sz="1"/>
              <w:right w:val="single" w:color="CED4E8" w:sz="1"/>
            </w:tcBorders>
            <w:shd w:fill="FFFFFF" w:val="clear"/>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caps w:val="false"/>
                <w:color w:val="3A3A55"/>
                <w:sz w:val="19"/>
                <w:szCs w:val="19"/>
              </w:rPr>
              <w:t xml:space="preserve">Results-oriented. Clarifies expectations early. Shows you plan to be productive immediately.</w:t>
            </w:r>
          </w:p>
        </w:tc>
      </w:tr>
    </w:tbl>
    <w:p>
      <w:pPr>
        <w:spacing w:after="45" w:before="45"/>
      </w:pPr>
      <w:r>
        <w:t xml:space="preserve"/>
      </w:r>
    </w:p>
    <w:p>
      <w:pPr>
        <w:pStyle w:val="Heading3"/>
        <w:pBdr>
          <w:bottom w:val="single" w:color="5C3D99" w:sz="3" w:space="3"/>
        </w:pBdr>
        <w:spacing w:after="100" w:before="260"/>
      </w:pPr>
      <w:r>
        <w:rPr>
          <w:rFonts w:ascii="Calibri" w:cs="Calibri" w:eastAsia="Calibri" w:hAnsi="Calibri"/>
          <w:b/>
          <w:bCs/>
          <w:i w:val="false"/>
          <w:iCs w:val="false"/>
          <w:caps w:val="false"/>
          <w:color w:val="5C3D99"/>
          <w:sz w:val="24"/>
          <w:szCs w:val="24"/>
        </w:rPr>
        <w:t xml:space="preserve">For the Engineering Panel (Peer Engineers)</w:t>
      </w:r>
    </w:p>
    <w:p>
      <w:pPr>
        <w:spacing w:after="45" w:before="4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W w:type="dxa" w:w="4800"/>
            <w:tcBorders>
              <w:top w:val="single" w:color="CED4E8" w:sz="1"/>
              <w:left w:val="single" w:color="CED4E8" w:sz="1"/>
              <w:bottom w:val="single" w:color="CED4E8" w:sz="1"/>
              <w:right w:val="single" w:color="CED4E8" w:sz="1"/>
            </w:tcBorders>
            <w:shd w:fill="1B2A4A" w:val="clear"/>
            <w:tcMar>
              <w:top w:type="dxa" w:w="80"/>
              <w:left w:type="dxa" w:w="120"/>
              <w:bottom w:type="dxa" w:w="80"/>
              <w:right w:type="dxa" w:w="120"/>
            </w:tcMar>
          </w:tcPr>
          <w:p>
            <w:pPr>
              <w:spacing w:after="80" w:before="0"/>
              <w:jc w:val="left"/>
            </w:pPr>
            <w:r>
              <w:rPr>
                <w:rFonts w:ascii="Calibri" w:cs="Calibri" w:eastAsia="Calibri" w:hAnsi="Calibri"/>
                <w:b/>
                <w:bCs/>
                <w:i w:val="false"/>
                <w:iCs w:val="false"/>
                <w:caps w:val="false"/>
                <w:color w:val="FFFFFF"/>
                <w:sz w:val="19"/>
                <w:szCs w:val="19"/>
              </w:rPr>
              <w:t xml:space="preserve">Your question</w:t>
            </w:r>
          </w:p>
        </w:tc>
        <w:tc>
          <w:tcPr>
            <w:tcW w:type="dxa" w:w="4560"/>
            <w:tcBorders>
              <w:top w:val="single" w:color="CED4E8" w:sz="1"/>
              <w:left w:val="single" w:color="CED4E8" w:sz="1"/>
              <w:bottom w:val="single" w:color="CED4E8" w:sz="1"/>
              <w:right w:val="single" w:color="CED4E8" w:sz="1"/>
            </w:tcBorders>
            <w:shd w:fill="1B2A4A" w:val="clear"/>
            <w:tcMar>
              <w:top w:type="dxa" w:w="80"/>
              <w:left w:type="dxa" w:w="120"/>
              <w:bottom w:type="dxa" w:w="80"/>
              <w:right w:type="dxa" w:w="120"/>
            </w:tcMar>
          </w:tcPr>
          <w:p>
            <w:pPr>
              <w:spacing w:after="80" w:before="0"/>
              <w:jc w:val="left"/>
            </w:pPr>
            <w:r>
              <w:rPr>
                <w:rFonts w:ascii="Calibri" w:cs="Calibri" w:eastAsia="Calibri" w:hAnsi="Calibri"/>
                <w:b/>
                <w:bCs/>
                <w:i w:val="false"/>
                <w:iCs w:val="false"/>
                <w:caps w:val="false"/>
                <w:color w:val="FFFFFF"/>
                <w:sz w:val="19"/>
                <w:szCs w:val="19"/>
              </w:rPr>
              <w:t xml:space="preserve">Why it works for your profile</w:t>
            </w:r>
          </w:p>
        </w:tc>
      </w:tr>
      <w:tr>
        <w:tc>
          <w:tcPr>
            <w:tcW w:type="dxa" w:w="4800"/>
            <w:tcBorders>
              <w:top w:val="single" w:color="CED4E8" w:sz="1"/>
              <w:left w:val="single" w:color="CED4E8" w:sz="1"/>
              <w:bottom w:val="single" w:color="CED4E8" w:sz="1"/>
              <w:right w:val="single" w:color="CED4E8" w:sz="1"/>
            </w:tcBorders>
            <w:shd w:fill="F8F9FC" w:val="clear"/>
            <w:tcMar>
              <w:top w:type="dxa" w:w="70"/>
              <w:left w:type="dxa" w:w="120"/>
              <w:bottom w:type="dxa" w:w="70"/>
              <w:right w:type="dxa" w:w="120"/>
            </w:tcMar>
          </w:tcPr>
          <w:p>
            <w:pPr>
              <w:spacing w:after="80" w:before="0"/>
              <w:jc w:val="left"/>
            </w:pPr>
            <w:r>
              <w:rPr>
                <w:rFonts w:ascii="Calibri" w:cs="Calibri" w:eastAsia="Calibri" w:hAnsi="Calibri"/>
                <w:b/>
                <w:bCs/>
                <w:i w:val="false"/>
                <w:iCs w:val="false"/>
                <w:caps w:val="false"/>
                <w:color w:val="1B2A4A"/>
                <w:sz w:val="19"/>
                <w:szCs w:val="19"/>
              </w:rPr>
              <w:t xml:space="preserve">I've built real-time trading dashboards with WebSocket reconnect and message replay. How does ClickUp handle real-time collaboration state reconciliation when a user reconnects after a network interruption — is it signal-driven, CRDT-based, or something else?</w:t>
            </w:r>
          </w:p>
        </w:tc>
        <w:tc>
          <w:tcPr>
            <w:tcW w:type="dxa" w:w="4560"/>
            <w:tcBorders>
              <w:top w:val="single" w:color="CED4E8" w:sz="1"/>
              <w:left w:val="single" w:color="CED4E8" w:sz="1"/>
              <w:bottom w:val="single" w:color="CED4E8" w:sz="1"/>
              <w:right w:val="single" w:color="CED4E8" w:sz="1"/>
            </w:tcBorders>
            <w:shd w:fill="F8F9FC" w:val="clear"/>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caps w:val="false"/>
                <w:color w:val="3A3A55"/>
                <w:sz w:val="19"/>
                <w:szCs w:val="19"/>
              </w:rPr>
              <w:t xml:space="preserve">Technically peer-level. Shows you think about failure modes. Likely to get an honest, technically rich answer.</w:t>
            </w:r>
          </w:p>
        </w:tc>
      </w:tr>
      <w:tr>
        <w:tc>
          <w:tcPr>
            <w:tcW w:type="dxa" w:w="4800"/>
            <w:tcBorders>
              <w:top w:val="single" w:color="CED4E8" w:sz="1"/>
              <w:left w:val="single" w:color="CED4E8" w:sz="1"/>
              <w:bottom w:val="single" w:color="CED4E8" w:sz="1"/>
              <w:right w:val="single" w:color="CED4E8" w:sz="1"/>
            </w:tcBorders>
            <w:shd w:fill="FFFFFF" w:val="clear"/>
            <w:tcMar>
              <w:top w:type="dxa" w:w="70"/>
              <w:left w:type="dxa" w:w="120"/>
              <w:bottom w:type="dxa" w:w="70"/>
              <w:right w:type="dxa" w:w="120"/>
            </w:tcMar>
          </w:tcPr>
          <w:p>
            <w:pPr>
              <w:spacing w:after="80" w:before="0"/>
              <w:jc w:val="left"/>
            </w:pPr>
            <w:r>
              <w:rPr>
                <w:rFonts w:ascii="Calibri" w:cs="Calibri" w:eastAsia="Calibri" w:hAnsi="Calibri"/>
                <w:b/>
                <w:bCs/>
                <w:i w:val="false"/>
                <w:iCs w:val="false"/>
                <w:caps w:val="false"/>
                <w:color w:val="1B2A4A"/>
                <w:sz w:val="19"/>
                <w:szCs w:val="19"/>
              </w:rPr>
              <w:t xml:space="preserve">From working in high-stakes trading platforms, I'm familiar with the pressure to never regress reliability for performance. What's the hardest performance-reliability trade-off ClickUp's frontend team has had to make recently?</w:t>
            </w:r>
          </w:p>
        </w:tc>
        <w:tc>
          <w:tcPr>
            <w:tcW w:type="dxa" w:w="4560"/>
            <w:tcBorders>
              <w:top w:val="single" w:color="CED4E8" w:sz="1"/>
              <w:left w:val="single" w:color="CED4E8" w:sz="1"/>
              <w:bottom w:val="single" w:color="CED4E8" w:sz="1"/>
              <w:right w:val="single" w:color="CED4E8" w:sz="1"/>
            </w:tcBorders>
            <w:shd w:fill="FFFFFF" w:val="clear"/>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caps w:val="false"/>
                <w:color w:val="3A3A55"/>
                <w:sz w:val="19"/>
                <w:szCs w:val="19"/>
              </w:rPr>
              <w:t xml:space="preserve">Shows your production mindset. Opens a genuine technical conversation.</w:t>
            </w:r>
          </w:p>
        </w:tc>
      </w:tr>
      <w:tr>
        <w:tc>
          <w:tcPr>
            <w:tcW w:type="dxa" w:w="4800"/>
            <w:tcBorders>
              <w:top w:val="single" w:color="CED4E8" w:sz="1"/>
              <w:left w:val="single" w:color="CED4E8" w:sz="1"/>
              <w:bottom w:val="single" w:color="CED4E8" w:sz="1"/>
              <w:right w:val="single" w:color="CED4E8" w:sz="1"/>
            </w:tcBorders>
            <w:shd w:fill="F8F9FC" w:val="clear"/>
            <w:tcMar>
              <w:top w:type="dxa" w:w="70"/>
              <w:left w:type="dxa" w:w="120"/>
              <w:bottom w:type="dxa" w:w="70"/>
              <w:right w:type="dxa" w:w="120"/>
            </w:tcMar>
          </w:tcPr>
          <w:p>
            <w:pPr>
              <w:spacing w:after="80" w:before="0"/>
              <w:jc w:val="left"/>
            </w:pPr>
            <w:r>
              <w:rPr>
                <w:rFonts w:ascii="Calibri" w:cs="Calibri" w:eastAsia="Calibri" w:hAnsi="Calibri"/>
                <w:b/>
                <w:bCs/>
                <w:i w:val="false"/>
                <w:iCs w:val="false"/>
                <w:caps w:val="false"/>
                <w:color w:val="1B2A4A"/>
                <w:sz w:val="19"/>
                <w:szCs w:val="19"/>
              </w:rPr>
              <w:t xml:space="preserve">If you could change one thing about how frontend decisions get made at ClickUp right now — not the technology, but the process — what would it be?</w:t>
            </w:r>
          </w:p>
        </w:tc>
        <w:tc>
          <w:tcPr>
            <w:tcW w:type="dxa" w:w="4560"/>
            <w:tcBorders>
              <w:top w:val="single" w:color="CED4E8" w:sz="1"/>
              <w:left w:val="single" w:color="CED4E8" w:sz="1"/>
              <w:bottom w:val="single" w:color="CED4E8" w:sz="1"/>
              <w:right w:val="single" w:color="CED4E8" w:sz="1"/>
            </w:tcBorders>
            <w:shd w:fill="F8F9FC" w:val="clear"/>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caps w:val="false"/>
                <w:color w:val="3A3A55"/>
                <w:sz w:val="19"/>
                <w:szCs w:val="19"/>
              </w:rPr>
              <w:t xml:space="preserve">The highest-signal peer question. Will get you the honest answer about what is actually frustrating or broken.</w:t>
            </w:r>
          </w:p>
        </w:tc>
      </w:tr>
    </w:tbl>
    <w:p>
      <w:r>
        <w:br w:type="page"/>
      </w:r>
    </w:p>
    <w:p>
      <w:pPr>
        <w:pStyle w:val="Heading1"/>
        <w:shd w:fill="0A5228" w:val="clear"/>
        <w:spacing w:after="200" w:before="440"/>
        <w:ind w:left="240" w:right="240"/>
      </w:pPr>
      <w:r>
        <w:rPr>
          <w:rFonts w:ascii="Calibri" w:cs="Calibri" w:eastAsia="Calibri" w:hAnsi="Calibri"/>
          <w:b/>
          <w:bCs/>
          <w:i w:val="false"/>
          <w:iCs w:val="false"/>
          <w:caps w:val="false"/>
          <w:color w:val="FFFFFF"/>
          <w:sz w:val="36"/>
          <w:szCs w:val="36"/>
        </w:rPr>
        <w:t xml:space="preserve">Part 5 — Final Preparation Checklist</w:t>
      </w:r>
    </w:p>
    <w:p>
      <w:pPr>
        <w:spacing w:after="45" w:before="45"/>
      </w:pPr>
      <w:r>
        <w:t xml:space="preserve"/>
      </w:r>
    </w:p>
    <w:p>
      <w:pPr>
        <w:pStyle w:val="Heading3"/>
        <w:pBdr>
          <w:bottom w:val="single" w:color="0A5228" w:sz="3" w:space="3"/>
        </w:pBdr>
        <w:spacing w:after="100" w:before="260"/>
      </w:pPr>
      <w:r>
        <w:rPr>
          <w:rFonts w:ascii="Calibri" w:cs="Calibri" w:eastAsia="Calibri" w:hAnsi="Calibri"/>
          <w:b/>
          <w:bCs/>
          <w:i w:val="false"/>
          <w:iCs w:val="false"/>
          <w:caps w:val="false"/>
          <w:color w:val="0A5228"/>
          <w:sz w:val="24"/>
          <w:szCs w:val="24"/>
        </w:rPr>
        <w:t xml:space="preserve">Specific to Your Profile — Things to Do Before the Interview</w:t>
      </w:r>
    </w:p>
    <w:p>
      <w:pPr>
        <w:pStyle w:val="ListParagraph"/>
        <w:numPr>
          <w:ilvl w:val="0"/>
          <w:numId w:val="2"/>
        </w:numPr>
        <w:spacing w:after="30" w:before="30"/>
        <w:ind w:left="540" w:hanging="360"/>
      </w:pPr>
      <w:r>
        <w:rPr>
          <w:rFonts w:ascii="Calibri" w:cs="Calibri" w:eastAsia="Calibri" w:hAnsi="Calibri"/>
          <w:b/>
          <w:bCs/>
          <w:i w:val="false"/>
          <w:iCs w:val="false"/>
          <w:caps w:val="false"/>
          <w:color w:val="3A3A55"/>
          <w:sz w:val="21"/>
          <w:szCs w:val="21"/>
        </w:rPr>
        <w:t xml:space="preserve">Quantify the Wells Fargo migration metrics precisely: how many components migrated, how many breaking changes resolved, exact timeline. These numbers are in your project records — find them.</w:t>
      </w:r>
    </w:p>
    <w:p>
      <w:pPr>
        <w:pStyle w:val="ListParagraph"/>
        <w:numPr>
          <w:ilvl w:val="0"/>
          <w:numId w:val="2"/>
        </w:numPr>
        <w:spacing w:after="30" w:before="30"/>
        <w:ind w:left="540" w:hanging="360"/>
      </w:pPr>
      <w:r>
        <w:rPr>
          <w:rFonts w:ascii="Calibri" w:cs="Calibri" w:eastAsia="Calibri" w:hAnsi="Calibri"/>
          <w:b/>
          <w:bCs/>
          <w:i w:val="false"/>
          <w:iCs w:val="false"/>
          <w:caps w:val="false"/>
          <w:color w:val="3A3A55"/>
          <w:sz w:val="21"/>
          <w:szCs w:val="21"/>
        </w:rPr>
        <w:t xml:space="preserve">Verify your Angular 20 signal knowledge is current: build one small app using signal(), computed(), effect(), input.required(), and @defer. Your Wells Fargo work was v21 but the signals API finalised in v17-18. Make sure you can speak to the latest state.</w:t>
      </w:r>
    </w:p>
    <w:p>
      <w:pPr>
        <w:pStyle w:val="ListParagraph"/>
        <w:numPr>
          <w:ilvl w:val="0"/>
          <w:numId w:val="2"/>
        </w:numPr>
        <w:spacing w:after="30" w:before="30"/>
        <w:ind w:left="540" w:hanging="360"/>
      </w:pPr>
      <w:r>
        <w:rPr>
          <w:rFonts w:ascii="Calibri" w:cs="Calibri" w:eastAsia="Calibri" w:hAnsi="Calibri"/>
          <w:b/>
          <w:bCs/>
          <w:i w:val="false"/>
          <w:iCs w:val="false"/>
          <w:caps w:val="false"/>
          <w:color w:val="3A3A55"/>
          <w:sz w:val="21"/>
          <w:szCs w:val="21"/>
        </w:rPr>
        <w:t xml:space="preserve">Prepare the 'Why ClickUp and not fintech' answer out loud — this will come up. Your answer must be genuinely about ClickUp, not a generic 'I want consumer scale' answer.</w:t>
      </w:r>
    </w:p>
    <w:p>
      <w:pPr>
        <w:pStyle w:val="ListParagraph"/>
        <w:numPr>
          <w:ilvl w:val="0"/>
          <w:numId w:val="2"/>
        </w:numPr>
        <w:spacing w:after="30" w:before="30"/>
        <w:ind w:left="540" w:hanging="360"/>
      </w:pPr>
      <w:r>
        <w:rPr>
          <w:rFonts w:ascii="Calibri" w:cs="Calibri" w:eastAsia="Calibri" w:hAnsi="Calibri"/>
          <w:b/>
          <w:bCs/>
          <w:i w:val="false"/>
          <w:iCs w:val="false"/>
          <w:caps w:val="false"/>
          <w:color w:val="3A3A55"/>
          <w:sz w:val="21"/>
          <w:szCs w:val="21"/>
        </w:rPr>
        <w:t xml:space="preserve">Use ClickUp for at least 2 hours before the interview. Create tasks, open a Doc, try real-time collaboration with another user. Reference specific product features in your architectural answers.</w:t>
      </w:r>
    </w:p>
    <w:p>
      <w:pPr>
        <w:pStyle w:val="ListParagraph"/>
        <w:numPr>
          <w:ilvl w:val="0"/>
          <w:numId w:val="2"/>
        </w:numPr>
        <w:spacing w:after="30" w:before="30"/>
        <w:ind w:left="540" w:hanging="360"/>
      </w:pPr>
      <w:r>
        <w:rPr>
          <w:rFonts w:ascii="Calibri" w:cs="Calibri" w:eastAsia="Calibri" w:hAnsi="Calibri"/>
          <w:b/>
          <w:bCs/>
          <w:i w:val="false"/>
          <w:iCs w:val="false"/>
          <w:caps w:val="false"/>
          <w:color w:val="3A3A55"/>
          <w:sz w:val="21"/>
          <w:szCs w:val="21"/>
        </w:rPr>
        <w:t xml:space="preserve">Practise Story 1 (migration regret) out loud until it runs exactly 2.5 minutes. It is your most powerful story and needs to land precisely — not rushed, not rambling.</w:t>
      </w:r>
    </w:p>
    <w:p>
      <w:pPr>
        <w:spacing w:after="45" w:before="45"/>
      </w:pPr>
      <w:r>
        <w:t xml:space="preserve"/>
      </w:r>
    </w:p>
    <w:p>
      <w:pPr>
        <w:pStyle w:val="Heading3"/>
        <w:pBdr>
          <w:bottom w:val="single" w:color="0A5228" w:sz="3" w:space="3"/>
        </w:pBdr>
        <w:spacing w:after="100" w:before="260"/>
      </w:pPr>
      <w:r>
        <w:rPr>
          <w:rFonts w:ascii="Calibri" w:cs="Calibri" w:eastAsia="Calibri" w:hAnsi="Calibri"/>
          <w:b/>
          <w:bCs/>
          <w:i w:val="false"/>
          <w:iCs w:val="false"/>
          <w:caps w:val="false"/>
          <w:color w:val="0A5228"/>
          <w:sz w:val="24"/>
          <w:szCs w:val="24"/>
        </w:rPr>
        <w:t xml:space="preserve">Your Strength Summary — Say These Things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42" w:sz="20"/>
              <w:bottom w:val="none" w:color="FFFFFF" w:sz="0"/>
              <w:right w:val="none" w:color="FFFFFF" w:sz="0"/>
            </w:tcBorders>
            <w:shd w:fill="E4F7ED" w:val="clear"/>
            <w:tcMar>
              <w:top w:type="dxa" w:w="120"/>
              <w:left w:type="dxa" w:w="240"/>
              <w:bottom w:type="dxa" w:w="120"/>
              <w:right w:type="dxa" w:w="200"/>
            </w:tcMar>
          </w:tcPr>
          <w:p>
            <w:pPr>
              <w:spacing w:after="70" w:before="0"/>
              <w:jc w:val="left"/>
            </w:pPr>
            <w:r>
              <w:rPr>
                <w:rFonts w:ascii="Calibri" w:cs="Calibri" w:eastAsia="Calibri" w:hAnsi="Calibri"/>
                <w:b/>
                <w:bCs/>
                <w:i w:val="false"/>
                <w:iCs w:val="false"/>
                <w:caps w:val="false"/>
                <w:color w:val="1A7A42"/>
                <w:sz w:val="19"/>
                <w:szCs w:val="19"/>
              </w:rPr>
              <w:t xml:space="preserve">Lead with these three things when asked about your background:</w:t>
            </w:r>
          </w:p>
          <w:p>
            <w:pPr>
              <w:spacing w:after="60" w:before="40"/>
              <w:jc w:val="left"/>
            </w:pPr>
            <w:r>
              <w:rPr>
                <w:rFonts w:ascii="Calibri" w:cs="Calibri" w:eastAsia="Calibri" w:hAnsi="Calibri"/>
                <w:b w:val="false"/>
                <w:bCs w:val="false"/>
                <w:i w:val="false"/>
                <w:iCs w:val="false"/>
                <w:caps w:val="false"/>
                <w:color w:val="3A3A55"/>
                <w:sz w:val="22"/>
                <w:szCs w:val="22"/>
              </w:rPr>
              <w:t xml:space="preserve">1. 'I led the Angular v11 to v21 migration across 7 enterprise trading platforms at Wells Fargo — that is the exact migration challenge ClickUp is navigating with the signals architecture, and I have been inside that problem at scale.'</w:t>
            </w:r>
          </w:p>
          <w:p>
            <w:pPr>
              <w:spacing w:after="60" w:before="40"/>
              <w:jc w:val="left"/>
            </w:pPr>
            <w:r>
              <w:rPr>
                <w:rFonts w:ascii="Calibri" w:cs="Calibri" w:eastAsia="Calibri" w:hAnsi="Calibri"/>
                <w:b w:val="false"/>
                <w:bCs w:val="false"/>
                <w:i w:val="false"/>
                <w:iCs w:val="false"/>
                <w:caps w:val="false"/>
                <w:color w:val="3A3A55"/>
                <w:sz w:val="22"/>
                <w:szCs w:val="22"/>
              </w:rPr>
              <w:t xml:space="preserve">2. 'I architected and delivered a micro-frontend platform using Module Federation and Nx Workspace for a multi-team trading application suite — independently deployable, shared component library, 10+ applications on the shared auth platform.'</w:t>
            </w:r>
          </w:p>
          <w:p>
            <w:pPr>
              <w:spacing w:after="90" w:before="40"/>
              <w:jc w:val="left"/>
            </w:pPr>
            <w:r>
              <w:rPr>
                <w:rFonts w:ascii="Calibri" w:cs="Calibri" w:eastAsia="Calibri" w:hAnsi="Calibri"/>
                <w:b w:val="false"/>
                <w:bCs w:val="false"/>
                <w:i w:val="false"/>
                <w:iCs w:val="false"/>
                <w:caps w:val="false"/>
                <w:color w:val="3A3A55"/>
                <w:sz w:val="22"/>
                <w:szCs w:val="22"/>
              </w:rPr>
              <w:t xml:space="preserve">3. 'I established cross-team Angular standards that 7 teams adopted voluntarily — NgRx Facade pattern, shared CI/CD, accessibility gates in the pipeline. Getting adoption without mandate is the Principal-level skill I have been building for 5 years.'</w:t>
            </w:r>
          </w:p>
        </w:tc>
      </w:tr>
    </w:tbl>
    <w:p>
      <w:pPr>
        <w:spacing w:after="45" w:before="4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42" w:sz="24"/>
              <w:bottom w:val="none" w:color="FFFFFF" w:sz="0"/>
              <w:right w:val="none" w:color="FFFFFF" w:sz="0"/>
            </w:tcBorders>
            <w:shd w:fill="E4F7ED" w:val="clear"/>
            <w:tcMar>
              <w:top w:type="dxa" w:w="200"/>
              <w:left w:type="dxa" w:w="280"/>
              <w:bottom w:type="dxa" w:w="200"/>
              <w:right w:type="dxa" w:w="220"/>
            </w:tcMar>
          </w:tcPr>
          <w:p>
            <w:pPr>
              <w:spacing w:after="100" w:before="0"/>
              <w:jc w:val="left"/>
            </w:pPr>
            <w:r>
              <w:rPr>
                <w:rFonts w:ascii="Calibri" w:cs="Calibri" w:eastAsia="Calibri" w:hAnsi="Calibri"/>
                <w:b/>
                <w:bCs/>
                <w:i w:val="false"/>
                <w:iCs w:val="false"/>
                <w:caps w:val="false"/>
                <w:color w:val="0A5228"/>
                <w:sz w:val="30"/>
                <w:szCs w:val="30"/>
              </w:rPr>
              <w:t xml:space="preserve">You are already the candidate ClickUp is looking for.</w:t>
            </w:r>
          </w:p>
          <w:p>
            <w:pPr>
              <w:spacing w:after="90" w:before="40"/>
              <w:jc w:val="left"/>
            </w:pPr>
            <w:r>
              <w:rPr>
                <w:rFonts w:ascii="Calibri" w:cs="Calibri" w:eastAsia="Calibri" w:hAnsi="Calibri"/>
                <w:b w:val="false"/>
                <w:bCs w:val="false"/>
                <w:i w:val="false"/>
                <w:iCs w:val="false"/>
                <w:caps w:val="false"/>
                <w:color w:val="3A3A55"/>
                <w:sz w:val="22"/>
                <w:szCs w:val="22"/>
              </w:rPr>
              <w:t xml:space="preserve">21 years. Angular 11→21 at enterprise scale. Module Federation across 7 live trading platforms. Cross-team standards adopted by 7 teams. 8+ engineers mentored. 100% WCAG compliance shipped. Real-time trading systems in production. The work is done — this guide just structures it so the interview panel can see it clearly. Go in with confidence.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b w:val="false"/>
        <w:bCs w:val="false"/>
        <w:i w:val="false"/>
        <w:iCs w:val="false"/>
        <w:caps w:val="false"/>
        <w:color w:val="606075"/>
        <w:sz w:val="18"/>
        <w:szCs w:val="18"/>
      </w:rPr>
      <w:t xml:space="preserve">Page </w:t>
    </w:r>
    <w:r>
      <w:rPr>
        <w:rFonts w:ascii="Calibri" w:cs="Calibri" w:eastAsia="Calibri" w:hAnsi="Calibri"/>
        <w:color w:val="606075"/>
        <w:sz w:val="18"/>
        <w:szCs w:val="18"/>
      </w:rPr>
      <w:fldChar w:fldCharType="begin"/>
      <w:instrText xml:space="preserve">PAGE</w:instrText>
      <w:fldChar w:fldCharType="separate"/>
      <w:fldChar w:fldCharType="end"/>
    </w:r>
    <w:r>
      <w:rPr>
        <w:rFonts w:ascii="Calibri" w:cs="Calibri" w:eastAsia="Calibri" w:hAnsi="Calibri"/>
        <w:b w:val="false"/>
        <w:bCs w:val="false"/>
        <w:i w:val="false"/>
        <w:iCs w:val="false"/>
        <w:caps w:val="false"/>
        <w:color w:val="606075"/>
        <w:sz w:val="18"/>
        <w:szCs w:val="18"/>
      </w:rPr>
      <w:t xml:space="preserve"> of </w:t>
    </w:r>
    <w:r>
      <w:rPr>
        <w:rFonts w:ascii="Calibri" w:cs="Calibri" w:eastAsia="Calibri" w:hAnsi="Calibri"/>
        <w:color w:val="606075"/>
        <w:sz w:val="18"/>
        <w:szCs w:val="18"/>
      </w:rPr>
      <w:fldChar w:fldCharType="begin"/>
      <w:instrText xml:space="preserve">NUMPAGES</w:instrText>
      <w:fldChar w:fldCharType="separate"/>
      <w:fldChar w:fldCharType="end"/>
    </w:r>
    <w:r>
      <w:rPr>
        <w:rFonts w:ascii="Calibri" w:cs="Calibri" w:eastAsia="Calibri" w:hAnsi="Calibri"/>
        <w:b w:val="false"/>
        <w:bCs w:val="false"/>
        <w:i w:val="false"/>
        <w:iCs w:val="false"/>
        <w:caps w:val="false"/>
        <w:color w:val="9AA8C8"/>
        <w:sz w:val="18"/>
        <w:szCs w:val="18"/>
      </w:rPr>
      <w:t xml:space="preserve">  ·  Personalised for: Principal UI Architect  ·  Wells Fargo · NYL · ETS · Biznuvo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AA8C8" w:sz="2" w:space="4"/>
      </w:pBdr>
      <w:spacing w:after="80" w:before="0"/>
      <w:jc w:val="left"/>
    </w:pPr>
    <w:r>
      <w:rPr>
        <w:rFonts w:ascii="Calibri" w:cs="Calibri" w:eastAsia="Calibri" w:hAnsi="Calibri"/>
        <w:b w:val="false"/>
        <w:bCs w:val="false"/>
        <w:i w:val="false"/>
        <w:iCs w:val="false"/>
        <w:caps w:val="false"/>
        <w:color w:val="7A8A99"/>
        <w:sz w:val="18"/>
        <w:szCs w:val="18"/>
      </w:rPr>
      <w:t xml:space="preserve">ClickUp Interview Prep  ·  Leadership &amp; Behavioral  ·  Personalised for Your Profile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Calibri" w:cs="Calibri" w:eastAsia="Calibri" w:hAnsi="Calibri"/>
      <w:b/>
      <w:bCs/>
      <w:color w:val="FFFFFF"/>
      <w:sz w:val="36"/>
      <w:szCs w:val="36"/>
    </w:rPr>
  </w:style>
  <w:style w:type="paragraph" w:styleId="Heading2">
    <w:name w:val="Heading 2"/>
    <w:basedOn w:val="Normal"/>
    <w:next w:val="Normal"/>
    <w:qFormat/>
    <w:pPr>
      <w:spacing w:after="150" w:before="320"/>
      <w:outlineLvl w:val="1"/>
    </w:pPr>
    <w:rPr>
      <w:rFonts w:ascii="Calibri" w:cs="Calibri" w:eastAsia="Calibri" w:hAnsi="Calibri"/>
      <w:b/>
      <w:bCs/>
      <w:color w:val="FFFFFF"/>
      <w:sz w:val="28"/>
      <w:szCs w:val="28"/>
    </w:rPr>
  </w:style>
  <w:style w:type="paragraph" w:styleId="Heading3">
    <w:name w:val="Heading 3"/>
    <w:basedOn w:val="Normal"/>
    <w:next w:val="Normal"/>
    <w:qFormat/>
    <w:pPr>
      <w:spacing w:after="100" w:before="260"/>
      <w:outlineLvl w:val="2"/>
    </w:pPr>
    <w:rPr>
      <w:rFonts w:ascii="Calibri" w:cs="Calibri" w:eastAsia="Calibri" w:hAnsi="Calibri"/>
      <w:b/>
      <w:bCs/>
      <w:color w:val="5C3D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2026-05-25T20:06:34.023Z</dcterms:created>
  <dcterms:modified xsi:type="dcterms:W3CDTF">2026-05-25T20:06:34.035Z</dcterms:modified>
</cp:coreProperties>
</file>

<file path=docProps/custom.xml><?xml version="1.0" encoding="utf-8"?>
<Properties xmlns="http://schemas.openxmlformats.org/officeDocument/2006/custom-properties" xmlns:vt="http://schemas.openxmlformats.org/officeDocument/2006/docPropsVTypes"/>
</file>