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Attore                              Obiettivo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Giocatore (primario)                    Giocare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Pescare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Scartare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Bluffare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Sventare il bluff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Vincere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Interrompere il giro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Esclamare 1!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Accorgersi dell’esclam</w:t>
      </w:r>
      <w:r w:rsidDel="00000000" w:rsidR="00000000" w:rsidRPr="00000000">
        <w:rPr>
          <w:sz w:val="28"/>
          <w:szCs w:val="28"/>
          <w:rtl w:val="0"/>
        </w:rPr>
        <w:t xml:space="preserve">azione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Partecipare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Abbandonare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Accettare o rifiutare di giocare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...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Gli </w:t>
      </w:r>
      <w:r w:rsidDel="00000000" w:rsidR="00000000" w:rsidRPr="00000000">
        <w:rPr>
          <w:i w:val="1"/>
          <w:sz w:val="28"/>
          <w:szCs w:val="28"/>
          <w:rtl w:val="0"/>
        </w:rPr>
        <w:t xml:space="preserve">obiettivi in corsivo</w:t>
      </w:r>
      <w:r w:rsidDel="00000000" w:rsidR="00000000" w:rsidRPr="00000000">
        <w:rPr>
          <w:sz w:val="28"/>
          <w:szCs w:val="28"/>
          <w:rtl w:val="0"/>
        </w:rPr>
        <w:t xml:space="preserve"> NON sono veri obiettivi, perche’ non rispondono alla domanda “COSA fa l’applicazione?”, ma a una sorta di “COME lo fa?”. In particolare, sono alcuni dei “come?” dell’obiettivo “Giocare”.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Giocatore creatore                      Creare la stanza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(primario)                                     Invitare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Annullare la partita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Squadra (secondario)                Guadagnare punti per la squadra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Utente applicazione (primario)   Autenticarsi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Web server (esterno)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Tipo di distribuzione                    Impone degli standard di codifica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(secondario)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Marchio aziendale Uno! </w:t>
        <w:tab/>
        <w:t xml:space="preserve">     Puo` imporre vincoli/Ci guadagna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(secondario)</w:t>
        <w:tab/>
        <w:tab/>
        <w:tab/>
        <w:t xml:space="preserve">     pubblicita`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