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Bozza di glossario di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cyan"/>
          <w:rtl w:val="0"/>
        </w:rPr>
        <w:t xml:space="preserve">Infrastruttura del gioco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Regola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Eliminato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Risultato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Statistica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Storico del gioco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Giocatore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Classifica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Squadra (NOTA: meglio in Gioco?)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Punteggio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Vincitore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Gioco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Uno! (nome del gioco e regola)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Mazzo di carte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Penalita` (regola)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Bluff (regola)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Tavolo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Estromissione (regola)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Interruzione (regola)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Time-out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Architettura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Peer-to-peer (sinomino: P2P)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client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Autenticazione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