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 questo esercizio si richiede di produrre </w:t>
      </w:r>
      <w:r w:rsidDel="00000000" w:rsidR="00000000" w:rsidRPr="00000000">
        <w:rPr>
          <w:b w:val="1"/>
          <w:sz w:val="28"/>
          <w:szCs w:val="28"/>
          <w:rtl w:val="0"/>
        </w:rPr>
        <w:t xml:space="preserve">due copie</w:t>
      </w:r>
      <w:r w:rsidDel="00000000" w:rsidR="00000000" w:rsidRPr="00000000">
        <w:rPr>
          <w:sz w:val="28"/>
          <w:szCs w:val="28"/>
          <w:rtl w:val="0"/>
        </w:rPr>
        <w:t xml:space="preserve"> del testo del progetto. In ciascuna delle due si dovranno </w:t>
      </w:r>
      <w:r w:rsidDel="00000000" w:rsidR="00000000" w:rsidRPr="00000000">
        <w:rPr>
          <w:b w:val="1"/>
          <w:sz w:val="28"/>
          <w:szCs w:val="28"/>
          <w:rtl w:val="0"/>
        </w:rPr>
        <w:t xml:space="preserve">evidenziare</w:t>
      </w:r>
      <w:r w:rsidDel="00000000" w:rsidR="00000000" w:rsidRPr="00000000">
        <w:rPr>
          <w:sz w:val="28"/>
          <w:szCs w:val="28"/>
          <w:rtl w:val="0"/>
        </w:rPr>
        <w:t xml:space="preserve"> termini rilevanti di natura diversa.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primo documento andiamo ad evidenziare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soggetti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(umani e non) che hanno un ruolo nell’uso o nel funzionamento dell’applicazione, e </w:t>
      </w:r>
      <w:r w:rsidDel="00000000" w:rsidR="00000000" w:rsidRPr="00000000">
        <w:rPr>
          <w:b w:val="1"/>
          <w:sz w:val="28"/>
          <w:szCs w:val="28"/>
          <w:highlight w:val="green"/>
          <w:rtl w:val="0"/>
        </w:rPr>
        <w:t xml:space="preserve">azioni</w:t>
      </w:r>
      <w:r w:rsidDel="00000000" w:rsidR="00000000" w:rsidRPr="00000000">
        <w:rPr>
          <w:sz w:val="28"/>
          <w:szCs w:val="28"/>
          <w:rtl w:val="0"/>
        </w:rPr>
        <w:t xml:space="preserve"> (verbi) che essi compiono.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Usare due colori diversi per soggetti e azioni.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Questo documento sarà la base per definire attori e obiettivi (lavoro che faremo venerdì 11/3)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secondo documento evidenziamo </w:t>
      </w:r>
      <w:r w:rsidDel="00000000" w:rsidR="00000000" w:rsidRPr="00000000">
        <w:rPr>
          <w:b w:val="1"/>
          <w:sz w:val="28"/>
          <w:szCs w:val="28"/>
          <w:rtl w:val="0"/>
        </w:rPr>
        <w:t xml:space="preserve">termini</w:t>
      </w:r>
      <w:r w:rsidDel="00000000" w:rsidR="00000000" w:rsidRPr="00000000">
        <w:rPr>
          <w:sz w:val="28"/>
          <w:szCs w:val="28"/>
          <w:rtl w:val="0"/>
        </w:rPr>
        <w:t xml:space="preserve"> rilevanti all’applicazione, su cui è opportuno avere chiarezza prima di procedere con la progettazione. Distinguiamo con i colori tre tipi di termini: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termini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architetturali</w:t>
      </w:r>
      <w:r w:rsidDel="00000000" w:rsidR="00000000" w:rsidRPr="00000000">
        <w:rPr>
          <w:sz w:val="28"/>
          <w:szCs w:val="28"/>
          <w:rtl w:val="0"/>
        </w:rPr>
        <w:t xml:space="preserve">, che si riferiscono all’aspetto progettuale (es. “client”). Questi termini devono essere compresi dai progettisti ma non necessariamente dai futuri utenti.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termini relativi alla </w:t>
      </w: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infrastruttura di gioco</w:t>
      </w:r>
      <w:r w:rsidDel="00000000" w:rsidR="00000000" w:rsidRPr="00000000">
        <w:rPr>
          <w:sz w:val="28"/>
          <w:szCs w:val="28"/>
          <w:rtl w:val="0"/>
        </w:rPr>
        <w:t xml:space="preserve">, ossia a tutta quella parte dell’applicazione che è indipendente dal fatto che il gioco sia Uno! (es. squadra, classifica…)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termini relativi al </w:t>
      </w:r>
      <w:r w:rsidDel="00000000" w:rsidR="00000000" w:rsidRPr="00000000">
        <w:rPr>
          <w:b w:val="1"/>
          <w:sz w:val="28"/>
          <w:szCs w:val="28"/>
          <w:highlight w:val="magenta"/>
          <w:rtl w:val="0"/>
        </w:rPr>
        <w:t xml:space="preserve">gioco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 sé e per sé (es. bluff, scarta,...)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Questo documento sarà la base per costruire il glossario. A questo scopo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riportare i termini individuati, divisi per categoria, in un nuovo documento</w:t>
      </w:r>
      <w:r w:rsidDel="00000000" w:rsidR="00000000" w:rsidRPr="00000000">
        <w:rPr>
          <w:b w:val="1"/>
          <w:sz w:val="28"/>
          <w:szCs w:val="28"/>
          <w:rtl w:val="0"/>
        </w:rPr>
        <w:t xml:space="preserve">, organizzati in una tabella con tre colonne: Termine, Descrizione, Sinonimi (vedi apposito template)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Quattrocento">
    <w:embedRegular r:id="rId1" w:subsetted="0"/>
    <w:embedBold r:id="rId2" w:subsetted="0"/>
  </w:font>
  <w:font w:name="IM Fell English">
    <w:embedRegular r:id="rId3" w:subsetted="0"/>
    <w:embe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attrocento" w:cs="Quattrocento" w:eastAsia="Quattrocento" w:hAnsi="Quattrocen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IM Fell English" w:cs="IM Fell English" w:eastAsia="IM Fell English" w:hAnsi="IM Fell English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IMFellEnglish-regular.ttf"/><Relationship Id="rId4" Type="http://schemas.openxmlformats.org/officeDocument/2006/relationships/font" Target="fonts/IMFellEnglish-italic.ttf"/></Relationships>
</file>