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0t478lci1wk" w:id="0"/>
      <w:bookmarkEnd w:id="0"/>
      <w:r w:rsidDel="00000000" w:rsidR="00000000" w:rsidRPr="00000000">
        <w:rPr>
          <w:rtl w:val="0"/>
        </w:rPr>
        <w:t xml:space="preserve">Use Case: Autenticarsi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pls5tq154xu" w:id="1"/>
      <w:bookmarkEnd w:id="1"/>
      <w:r w:rsidDel="00000000" w:rsidR="00000000" w:rsidRPr="00000000">
        <w:rPr>
          <w:rtl w:val="0"/>
        </w:rPr>
        <w:t xml:space="preserve">Interazioni</w:t>
      </w:r>
      <w:r w:rsidDel="00000000" w:rsidR="00000000" w:rsidRPr="00000000">
        <w:rPr>
          <w:rtl w:val="0"/>
        </w:rPr>
        <w:t xml:space="preserve"> Utente / Sistema e Operazioni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7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935"/>
        <w:gridCol w:w="5295"/>
        <w:gridCol w:w="4934"/>
        <w:tblGridChange w:id="0">
          <w:tblGrid>
            <w:gridCol w:w="540"/>
            <w:gridCol w:w="4935"/>
            <w:gridCol w:w="5295"/>
            <w:gridCol w:w="493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nshtsfy7afi3" w:id="2"/>
            <w:bookmarkEnd w:id="2"/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3"/>
            <w:bookmarkEnd w:id="3"/>
            <w:r w:rsidDel="00000000" w:rsidR="00000000" w:rsidRPr="00000000">
              <w:rPr>
                <w:rtl w:val="0"/>
              </w:rPr>
              <w:t xml:space="preserve">Operazioni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 </w:t>
            </w:r>
            <w:r w:rsidDel="00000000" w:rsidR="00000000" w:rsidRPr="00000000">
              <w:rPr>
                <w:rtl w:val="0"/>
              </w:rPr>
              <w:t xml:space="preserve">Avvio del gioco.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 l’attore possiede delle credenziali ottenute in precedenza può immediatamente effettuare l’accesso; altrimenti dovrà richiedere le credenziali. L’utente può andare direttamente alla terminazione.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Effettua accesso.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dell’attore e lo autorizza a proseguire con l’utilizzo dell’applicazione UnoPerTutti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accedi(email, password)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profiloUtente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 registra.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Fornisce all’attore credenziali valide per effettuare l’accesso.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registra(nome, email, password)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risponde con: conferma operazione avvenuta.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IM Fell English">
    <w:embedRegular r:id="rId6" w:subsetted="0"/>
    <w:embedItalic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IMFellEnglish-regular.ttf"/><Relationship Id="rId7" Type="http://schemas.openxmlformats.org/officeDocument/2006/relationships/font" Target="fonts/IMFellEnglish-italic.ttf"/></Relationships>
</file>