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72"/>
        </w:rPr>
        <w:t>83 New Kent Road</w:t>
      </w:r>
    </w:p>
    <w:p>
      <w:pPr>
        <w:jc w:val="center"/>
      </w:pPr>
      <w:r>
        <w:rPr>
          <w:sz w:val="40"/>
        </w:rPr>
        <w:t>LGL Properties</w:t>
      </w:r>
    </w:p>
    <w:p/>
    <w:p>
      <w:pPr>
        <w:jc w:val="center"/>
      </w:pPr>
      <w:r>
        <w:rPr>
          <w:i/>
          <w:sz w:val="28"/>
        </w:rPr>
        <w:t>Scotch Partners RFP Return – Building Services, Sustainability and Acoustics</w:t>
      </w:r>
    </w:p>
    <w:p/>
    <w:p/>
    <w:p/>
    <w:p/>
    <w:p/>
    <w:p/>
    <w:p>
      <w:pPr>
        <w:jc w:val="center"/>
      </w:pPr>
      <w:r>
        <w:rPr>
          <w:sz w:val="22"/>
        </w:rPr>
        <w:t>R03 (DRAFT — AI-generated prototype)    16/05/2026</w:t>
      </w:r>
    </w:p>
    <w:p>
      <w:r>
        <w:br w:type="page"/>
      </w:r>
    </w:p>
    <w:p>
      <w:pPr>
        <w:pStyle w:val="Heading1"/>
      </w:pPr>
      <w:r>
        <w:t>Contents</w:t>
      </w:r>
    </w:p>
    <w:p>
      <w:r>
        <w:rPr>
          <w:sz w:val="22"/>
        </w:rPr>
        <w:t>1. Introduction</w:t>
      </w:r>
      <w:r>
        <w:rPr>
          <w:sz w:val="22"/>
        </w:rPr>
        <w:tab/>
        <w:t>3</w:t>
      </w:r>
    </w:p>
    <w:p>
      <w:r>
        <w:rPr>
          <w:sz w:val="22"/>
        </w:rPr>
        <w:t>2. Scotch Partners Introduction</w:t>
      </w:r>
      <w:r>
        <w:rPr>
          <w:sz w:val="22"/>
        </w:rPr>
        <w:tab/>
        <w:t>4</w:t>
      </w:r>
    </w:p>
    <w:p>
      <w:r>
        <w:rPr>
          <w:sz w:val="22"/>
        </w:rPr>
        <w:t>3. Team and Proposed Roles</w:t>
      </w:r>
      <w:r>
        <w:rPr>
          <w:sz w:val="22"/>
        </w:rPr>
        <w:tab/>
        <w:t>6</w:t>
      </w:r>
    </w:p>
    <w:p>
      <w:r>
        <w:rPr>
          <w:sz w:val="22"/>
        </w:rPr>
        <w:t>4. Fees</w:t>
      </w:r>
      <w:r>
        <w:rPr>
          <w:sz w:val="22"/>
        </w:rPr>
        <w:tab/>
        <w:t>7</w:t>
      </w:r>
    </w:p>
    <w:p>
      <w:r>
        <w:rPr>
          <w:sz w:val="22"/>
        </w:rPr>
        <w:t>Appendix A — MEP and Energy Scope of Services</w:t>
      </w:r>
      <w:r>
        <w:rPr>
          <w:sz w:val="22"/>
        </w:rPr>
        <w:tab/>
        <w:t>11</w:t>
      </w:r>
    </w:p>
    <w:p>
      <w:r>
        <w:rPr>
          <w:sz w:val="22"/>
        </w:rPr>
        <w:t>Appendix B — Scotch Partners Terms &amp; Conditions</w:t>
      </w:r>
      <w:r>
        <w:rPr>
          <w:sz w:val="22"/>
        </w:rPr>
        <w:tab/>
        <w:t>17</w:t>
      </w:r>
    </w:p>
    <w:p>
      <w:r>
        <w:rPr>
          <w:sz w:val="22"/>
        </w:rPr>
        <w:t>Contact</w:t>
      </w:r>
      <w:r>
        <w:rPr>
          <w:sz w:val="22"/>
        </w:rPr>
        <w:tab/>
        <w:t>19</w:t>
      </w:r>
    </w:p>
    <w:p>
      <w:r>
        <w:br w:type="page"/>
      </w:r>
    </w:p>
    <w:p>
      <w:pPr>
        <w:pStyle w:val="Heading1"/>
      </w:pPr>
      <w:r>
        <w:t>1. Introduction</w:t>
      </w:r>
    </w:p>
    <w:p>
      <w:r>
        <w:t>Scotch Partners are delighted to have been invited by Harry Keen of LGL to provide a fee and scope for the design of the 83 New Kent Road redevelopment. This is a great project and we are pleased to continue from the acquisition stage of the scheme, where our report dated 31st January 2025 set out the recommended MEP interventions to uplift the building from EPC E to EPC B.</w:t>
      </w:r>
    </w:p>
    <w:p>
      <w:r>
        <w:t>We understand that the scheme is close to exchange and completion (programmed for 20th February 2025) and that LGL are keen to receive proposals so that the design team can hit the ground running. Scotch Partners propose to keep the same team on the project that supported the acquisition. To summarise, the scheme entails the following:</w:t>
      </w:r>
    </w:p>
    <w:p>
      <w:pPr>
        <w:pStyle w:val="ListBullet"/>
      </w:pPr>
      <w:r>
        <w:t>The site comprises three purpose-built interconnected buildings of between 2 and 4 storeys around a central courtyard, totalling 26,615 sq ft (2,473 sq m) GIA, currently vacant student accommodation last occupied by London South Bank University.</w:t>
      </w:r>
    </w:p>
    <w:p>
      <w:pPr>
        <w:pStyle w:val="ListBullet"/>
      </w:pPr>
      <w:r>
        <w:t>The existing building will be reconfigured to optimise space and functionality, delivering 93 ensuite studio units averaging 17 sq m, with mezzanines on the majority bringing the average usable space to 19.2 sq m.</w:t>
      </w:r>
    </w:p>
    <w:p>
      <w:pPr>
        <w:pStyle w:val="ListBullet"/>
      </w:pPr>
      <w:r>
        <w:t>Two new lifts, both meeting fire evacuation standards, equipped with backup power.</w:t>
      </w:r>
    </w:p>
    <w:p>
      <w:pPr>
        <w:pStyle w:val="ListBullet"/>
      </w:pPr>
      <w:r>
        <w:t>Introduction of Air Source Heat Pumps on each block's roof, replacing the existing gas system for heating and domestic hot water.</w:t>
      </w:r>
    </w:p>
    <w:p>
      <w:pPr>
        <w:pStyle w:val="ListBullet"/>
      </w:pPr>
      <w:r>
        <w:t>Shared amenity space totalling 91 sq m.</w:t>
      </w:r>
    </w:p>
    <w:p>
      <w:pPr>
        <w:pStyle w:val="ListBullet"/>
      </w:pPr>
      <w:r>
        <w:t>Targeting EPC B (uplift from current EPC E).</w:t>
      </w:r>
    </w:p>
    <w:p>
      <w:pPr>
        <w:pStyle w:val="ListBullet"/>
      </w:pPr>
      <w:r>
        <w:t>A high-spec fit-out to help differentiate the product.</w:t>
      </w:r>
    </w:p>
    <w:p>
      <w:pPr>
        <w:pStyle w:val="ListBullet"/>
      </w:pPr>
      <w:r>
        <w:t>It is anticipated that the principal reconfiguration works will not require a planning application, per the Maddox Planning note dated 11/02/2025; lifts, ASHPs and associated plant may attract an application subject to final design.</w:t>
      </w:r>
    </w:p>
    <w:p>
      <w:pPr>
        <w:pStyle w:val="ListBullet"/>
      </w:pPr>
      <w:r>
        <w:t>The development is to be treated as 'non domestic' for energy / EPC purposes. Part O does not apply as the works are to an existing building rather than new-build residential.</w:t>
      </w:r>
    </w:p>
    <w:p>
      <w:pPr>
        <w:pStyle w:val="ListBullet"/>
      </w:pPr>
      <w:r>
        <w:t>High level programme: Stage 2 by 14th May 2025; Stage 3+ sign-off by 15th October 2025; main works February 2026 to February 2027; target completion 16th June 2027 (28 months from exchange).</w:t>
      </w:r>
    </w:p>
    <w:p>
      <w:pPr>
        <w:pStyle w:val="ListBullet"/>
      </w:pPr>
      <w:r>
        <w:t>Fees have been provided for MEP and Sustainability / Energy, with optional strands for Acoustics and BREEAM.</w:t>
      </w:r>
    </w:p>
    <w:p>
      <w:r>
        <w:br w:type="page"/>
      </w:r>
    </w:p>
    <w:p>
      <w:pPr>
        <w:pStyle w:val="Heading1"/>
      </w:pPr>
      <w:r>
        <w:t>2. Scotch Partners Introduction</w:t>
      </w:r>
    </w:p>
    <w:p>
      <w:r>
        <w:t>Scotch have a proven track record working with workplace and science and technology clients and are currently working on a number of similar residential and co-living schemes, including refurbishment projects comparable in scale and character to 83 New Kent Road. Scotch are a building design practice providing mechanical, electrical &amp; public health engineering, sustainability, energy and planning (SEP) and acoustic consultancy services.</w:t>
      </w:r>
    </w:p>
    <w:p>
      <w:r>
        <w:t>The culture of the practice is founded upon respect for people and trust. We are committed to creating a great and inclusive working environment where the best minds in the industry will flourish. This is supported by our high retention rate, which was c.97% for recently completed FY 24.</w:t>
      </w:r>
    </w:p>
    <w:p>
      <w:r>
        <w:t>Since its inception, Scotch has organically grown, being careful to employ people who believe in our shared values of quality, collaboration and trust. With a team of circa 65 people, our size and ownership enable us to have total control over workload and resource, working on small, medium and large-scale projects. Most of our project work comes through repeat business or recommendations from people we work with — testament to the team and the work we produce, which is founded on quality and attention to detail.</w:t>
      </w:r>
    </w:p>
    <w:p>
      <w:r>
        <w:t>We work on a wide variety of projects in relation to the type and scale of this project, with a high proportion of our work within the workplace and science and technology sectors.</w:t>
      </w:r>
    </w:p>
    <w:p>
      <w:pPr>
        <w:pStyle w:val="Heading2"/>
      </w:pPr>
      <w:r>
        <w:t>Management Structure</w:t>
      </w:r>
    </w:p>
    <w:p>
      <w:r>
        <w:t>Scotch operates as one business unit / team, reflected by the flat and simple management structure. There are 6 partners — with John Steele having recently joined as a Partner — all involved in and focused on project delivery. Reporting into the Partners and helping deliver the projects are the Technical Directors, including a Business Operations Director.</w:t>
      </w:r>
    </w:p>
    <w:p>
      <w:r>
        <w:t>Our flat company structure means that we do not work in isolated, internal teams, allowing us flexibility to allocate staff as required. This also supports sharing of knowledge across the business. As the company is wholly owned by the Partners, we have complete control over our operation and resource.</w:t>
      </w:r>
    </w:p>
    <w:p>
      <w:pPr>
        <w:pStyle w:val="Heading2"/>
      </w:pPr>
      <w:r>
        <w:t>Quality &amp; Delivery</w:t>
      </w:r>
    </w:p>
    <w:p>
      <w:r>
        <w:t>We believe in delivering sustainable and efficient designs in order to create the highest quality buildings and internal environments. To do so, we are collaborative and client-focused, providing considerable combined experience in building services design engineering, modelling, energy, sustainability, wellness and acoustic consultancy services. This philosophy is integral to our service.</w:t>
      </w:r>
    </w:p>
    <w:p>
      <w:r>
        <w:t>We understand the importance of clarity and knowledge in the decision-making process. Our delivery approach tests and validates design, enabling appropriate measures to be identified early in the design process. This avoids the need for inefficient re-testing of solutions.</w:t>
      </w:r>
    </w:p>
    <w:p>
      <w:r>
        <w:t>We are committed to providing the best-suited people to each project and we always aim to retain the same team members from start to finish. We have a robust approach to covering absences of key personnel that ensures uninterrupted support and project continuity.</w:t>
      </w:r>
    </w:p>
    <w:p>
      <w:pPr>
        <w:pStyle w:val="Heading2"/>
      </w:pPr>
      <w:r>
        <w:t>Financial Standing &amp; Ownership</w:t>
      </w:r>
    </w:p>
    <w:p>
      <w:r>
        <w:t>Scotch is wholly owned and run by the Partners and we are trading profitably without any borrowings.</w:t>
      </w:r>
    </w:p>
    <w:p>
      <w:pPr>
        <w:pStyle w:val="Heading2"/>
      </w:pPr>
      <w:r>
        <w:t>Our Clients</w:t>
      </w:r>
    </w:p>
    <w:p>
      <w:r>
        <w:t>Shown below is a selection of clients that we have recently worked with or are currently working with.</w:t>
      </w:r>
    </w:p>
    <w:p>
      <w:r>
        <w:t>[Client logo strip — image asset to be inserted in production version]</w:t>
      </w:r>
    </w:p>
    <w:p>
      <w:pPr>
        <w:pStyle w:val="Heading2"/>
      </w:pPr>
      <w:r>
        <w:t>Team &amp; Relationships</w:t>
      </w:r>
    </w:p>
    <w:p>
      <w:r>
        <w:t>Our people are collaborative team members who involve themselves in all aspects of the project, not just MEP or sustainability-related items. We like to build strong, long-lasting relationships, as this tends to produce successful projects that are enjoyable to work on.</w:t>
      </w:r>
    </w:p>
    <w:p>
      <w:r>
        <w:br w:type="page"/>
      </w:r>
    </w:p>
    <w:p>
      <w:pPr>
        <w:pStyle w:val="Heading1"/>
      </w:pPr>
      <w:r>
        <w:t>3. Team and Proposed Roles</w:t>
      </w:r>
    </w:p>
    <w:p>
      <w:pPr>
        <w:pStyle w:val="Heading2"/>
      </w:pPr>
      <w:r>
        <w:t>3.1 Organogram</w:t>
      </w:r>
    </w:p>
    <w:p>
      <w:r>
        <w:t>[Organogram diagram — image asset to be inserted in production version. Shows LGL (Harry Keen) at the top, the Scotch core leadership team (John Steele lead; Mark Bacon, Kirsten Elder, Jason Clouston) reporting in, Raphael Boothman as MEP co-ordinator, and the wider design team as recipients of co-ordination.]</w:t>
      </w:r>
    </w:p>
    <w:p>
      <w:r>
        <w:t>We propose to use the same team members who supported the acquisition stage of the project, as this team is already known to LGL and was responsible for the 31st January 2025 EPC uplift report cited in your RFP. The team are all based in our London office in Farringdon.</w:t>
      </w:r>
    </w:p>
    <w:p>
      <w:r>
        <w:t>In order to establish clear lines of communication between the client and the project team, we have proposed to structure ourselves in a way that delineates reporting and communication with wider stakeholders.</w:t>
      </w:r>
    </w:p>
    <w:p>
      <w:r>
        <w:t>The core leadership team will be led by John Steele, who will be the overall point of contact for day-to-day matters. John will be supported by Mark Bacon (leading on utilities and the electrical Peer Review), with Kirsten Elder and Jason Clouston picking up sustainability and acoustics respectively, should we be appointed for those strands. This provides a clear leadership structure for reporting and feedback, and allows existing relationships with the client team to develop further.</w:t>
      </w:r>
    </w:p>
    <w:p>
      <w:r>
        <w:t>A similar approach is needed to communicate with the wider team. We therefore propose Raphael Boothman as the Scotch MEP co-ordinator. Raphael's role is to liaise with the wider design team to ensure that information flows smoothly and co-ordination matters are dealt with swiftly and pro-actively.</w:t>
      </w:r>
    </w:p>
    <w:p>
      <w:r>
        <w:br w:type="page"/>
      </w:r>
    </w:p>
    <w:p>
      <w:pPr>
        <w:pStyle w:val="Heading1"/>
      </w:pPr>
      <w:r>
        <w:t>4. Fees</w:t>
      </w:r>
    </w:p>
    <w:p>
      <w:r>
        <w:t>Our overall MEP and Energy fees can be summarised in the table below.</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RIBA Stage</w:t>
            </w:r>
          </w:p>
        </w:tc>
        <w:tc>
          <w:tcPr>
            <w:tcW w:type="dxa" w:w="2436"/>
          </w:tcPr>
          <w:p>
            <w:r>
              <w:rPr>
                <w:b/>
              </w:rPr>
              <w:t>MEP Fee (£)</w:t>
            </w:r>
          </w:p>
        </w:tc>
        <w:tc>
          <w:tcPr>
            <w:tcW w:type="dxa" w:w="2436"/>
          </w:tcPr>
          <w:p>
            <w:r>
              <w:rPr>
                <w:b/>
              </w:rPr>
              <w:t>Energy Modelling (EPC) (£)</w:t>
            </w:r>
          </w:p>
        </w:tc>
        <w:tc>
          <w:tcPr>
            <w:tcW w:type="dxa" w:w="2436"/>
          </w:tcPr>
          <w:p>
            <w:r>
              <w:rPr>
                <w:b/>
              </w:rPr>
              <w:t>Notes</w:t>
            </w:r>
          </w:p>
        </w:tc>
      </w:tr>
      <w:tr>
        <w:tc>
          <w:tcPr>
            <w:tcW w:type="dxa" w:w="2436"/>
          </w:tcPr>
          <w:p>
            <w:r>
              <w:t>Stage 2</w:t>
            </w:r>
          </w:p>
        </w:tc>
        <w:tc>
          <w:tcPr>
            <w:tcW w:type="dxa" w:w="2436"/>
          </w:tcPr>
          <w:p>
            <w:r>
              <w:t>15,000</w:t>
            </w:r>
          </w:p>
        </w:tc>
        <w:tc>
          <w:tcPr>
            <w:tcW w:type="dxa" w:w="2436"/>
          </w:tcPr>
          <w:p>
            <w:r>
              <w:t>6,800</w:t>
            </w:r>
          </w:p>
        </w:tc>
        <w:tc>
          <w:tcPr>
            <w:tcW w:type="dxa" w:w="2436"/>
          </w:tcPr>
          <w:p>
            <w:r>
              <w:t>Assumes picking up from acquisition study with same client brief</w:t>
            </w:r>
          </w:p>
        </w:tc>
      </w:tr>
      <w:tr>
        <w:tc>
          <w:tcPr>
            <w:tcW w:type="dxa" w:w="2436"/>
          </w:tcPr>
          <w:p>
            <w:r>
              <w:t>Stage 3 Plus (tender documents)</w:t>
            </w:r>
          </w:p>
        </w:tc>
        <w:tc>
          <w:tcPr>
            <w:tcW w:type="dxa" w:w="2436"/>
          </w:tcPr>
          <w:p>
            <w:r>
              <w:t>35,000</w:t>
            </w:r>
          </w:p>
        </w:tc>
        <w:tc>
          <w:tcPr>
            <w:tcW w:type="dxa" w:w="2436"/>
          </w:tcPr>
          <w:p>
            <w:r>
              <w:t>5,500</w:t>
            </w:r>
          </w:p>
        </w:tc>
        <w:tc>
          <w:tcPr>
            <w:tcW w:type="dxa" w:w="2436"/>
          </w:tcPr>
          <w:p>
            <w:r>
              <w:t>Tender documents</w:t>
            </w:r>
          </w:p>
        </w:tc>
      </w:tr>
      <w:tr>
        <w:tc>
          <w:tcPr>
            <w:tcW w:type="dxa" w:w="2436"/>
          </w:tcPr>
          <w:p>
            <w:r>
              <w:t>Stage 4 i/ii/iii</w:t>
            </w:r>
          </w:p>
        </w:tc>
        <w:tc>
          <w:tcPr>
            <w:tcW w:type="dxa" w:w="2436"/>
          </w:tcPr>
          <w:p>
            <w:r>
              <w:t>4,000</w:t>
            </w:r>
          </w:p>
        </w:tc>
        <w:tc>
          <w:tcPr>
            <w:tcW w:type="dxa" w:w="2436"/>
          </w:tcPr>
          <w:p>
            <w:r>
              <w:t>—</w:t>
            </w:r>
          </w:p>
        </w:tc>
        <w:tc>
          <w:tcPr>
            <w:tcW w:type="dxa" w:w="2436"/>
          </w:tcPr>
          <w:p>
            <w:r>
              <w:t>Client monitoring</w:t>
            </w:r>
          </w:p>
        </w:tc>
      </w:tr>
      <w:tr>
        <w:tc>
          <w:tcPr>
            <w:tcW w:type="dxa" w:w="2436"/>
          </w:tcPr>
          <w:p>
            <w:r>
              <w:t>Stage 5 / 6</w:t>
            </w:r>
          </w:p>
        </w:tc>
        <w:tc>
          <w:tcPr>
            <w:tcW w:type="dxa" w:w="2436"/>
          </w:tcPr>
          <w:p>
            <w:r>
              <w:t>32,500</w:t>
            </w:r>
          </w:p>
        </w:tc>
        <w:tc>
          <w:tcPr>
            <w:tcW w:type="dxa" w:w="2436"/>
          </w:tcPr>
          <w:p>
            <w:r>
              <w:t>—</w:t>
            </w:r>
          </w:p>
        </w:tc>
        <w:tc>
          <w:tcPr>
            <w:tcW w:type="dxa" w:w="2436"/>
          </w:tcPr>
          <w:p>
            <w:r>
              <w:t>Client monitoring</w:t>
            </w:r>
          </w:p>
        </w:tc>
      </w:tr>
      <w:tr>
        <w:tc>
          <w:tcPr>
            <w:tcW w:type="dxa" w:w="2436"/>
          </w:tcPr>
          <w:p>
            <w:r>
              <w:t>Total</w:t>
            </w:r>
          </w:p>
        </w:tc>
        <w:tc>
          <w:tcPr>
            <w:tcW w:type="dxa" w:w="2436"/>
          </w:tcPr>
          <w:p>
            <w:r>
              <w:t>86,500</w:t>
            </w:r>
          </w:p>
        </w:tc>
        <w:tc>
          <w:tcPr>
            <w:tcW w:type="dxa" w:w="2436"/>
          </w:tcPr>
          <w:p>
            <w:r>
              <w:t>12,300</w:t>
            </w:r>
          </w:p>
        </w:tc>
        <w:tc>
          <w:tcPr>
            <w:tcW w:type="dxa" w:w="2436"/>
          </w:tcPr>
          <w:p>
            <w:r>
              <w:t>Combined total £98,800</w:t>
            </w:r>
          </w:p>
        </w:tc>
      </w:tr>
    </w:tbl>
    <w:p/>
    <w:p>
      <w:r>
        <w:t>Optional fees for Acoustics can be found below:-</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RIBA Stage</w:t>
            </w:r>
          </w:p>
        </w:tc>
        <w:tc>
          <w:tcPr>
            <w:tcW w:type="dxa" w:w="2436"/>
          </w:tcPr>
          <w:p>
            <w:r>
              <w:rPr>
                <w:b/>
              </w:rPr>
              <w:t>Noise Survey (£)</w:t>
            </w:r>
          </w:p>
        </w:tc>
        <w:tc>
          <w:tcPr>
            <w:tcW w:type="dxa" w:w="2436"/>
          </w:tcPr>
          <w:p>
            <w:r>
              <w:rPr>
                <w:b/>
              </w:rPr>
              <w:t>Acoustics (£)</w:t>
            </w:r>
          </w:p>
        </w:tc>
        <w:tc>
          <w:tcPr>
            <w:tcW w:type="dxa" w:w="2436"/>
          </w:tcPr>
          <w:p>
            <w:r>
              <w:rPr>
                <w:b/>
              </w:rPr>
              <w:t>Notes</w:t>
            </w:r>
          </w:p>
        </w:tc>
      </w:tr>
      <w:tr>
        <w:tc>
          <w:tcPr>
            <w:tcW w:type="dxa" w:w="2436"/>
          </w:tcPr>
          <w:p>
            <w:r>
              <w:t>Stage 2</w:t>
            </w:r>
          </w:p>
        </w:tc>
        <w:tc>
          <w:tcPr>
            <w:tcW w:type="dxa" w:w="2436"/>
          </w:tcPr>
          <w:p>
            <w:r>
              <w:t>4,000</w:t>
            </w:r>
          </w:p>
        </w:tc>
        <w:tc>
          <w:tcPr>
            <w:tcW w:type="dxa" w:w="2436"/>
          </w:tcPr>
          <w:p>
            <w:r>
              <w:t>3,750</w:t>
            </w:r>
          </w:p>
        </w:tc>
        <w:tc>
          <w:tcPr>
            <w:tcW w:type="dxa" w:w="2436"/>
          </w:tcPr>
          <w:p>
            <w:r>
              <w:t>Optional noise assessment</w:t>
            </w:r>
          </w:p>
        </w:tc>
      </w:tr>
      <w:tr>
        <w:tc>
          <w:tcPr>
            <w:tcW w:type="dxa" w:w="2436"/>
          </w:tcPr>
          <w:p>
            <w:r>
              <w:t>Stage 3 Plus (tender documents)</w:t>
            </w:r>
          </w:p>
        </w:tc>
        <w:tc>
          <w:tcPr>
            <w:tcW w:type="dxa" w:w="2436"/>
          </w:tcPr>
          <w:p>
            <w:r>
              <w:t>—</w:t>
            </w:r>
          </w:p>
        </w:tc>
        <w:tc>
          <w:tcPr>
            <w:tcW w:type="dxa" w:w="2436"/>
          </w:tcPr>
          <w:p>
            <w:r>
              <w:t>7,000</w:t>
            </w:r>
          </w:p>
        </w:tc>
        <w:tc>
          <w:tcPr>
            <w:tcW w:type="dxa" w:w="2436"/>
          </w:tcPr>
          <w:p>
            <w:r>
              <w:t>Tender documents</w:t>
            </w:r>
          </w:p>
        </w:tc>
      </w:tr>
      <w:tr>
        <w:tc>
          <w:tcPr>
            <w:tcW w:type="dxa" w:w="2436"/>
          </w:tcPr>
          <w:p>
            <w:r>
              <w:t>Stage 4 i/ii/iii</w:t>
            </w:r>
          </w:p>
        </w:tc>
        <w:tc>
          <w:tcPr>
            <w:tcW w:type="dxa" w:w="2436"/>
          </w:tcPr>
          <w:p>
            <w:r>
              <w:t>—</w:t>
            </w:r>
          </w:p>
        </w:tc>
        <w:tc>
          <w:tcPr>
            <w:tcW w:type="dxa" w:w="2436"/>
          </w:tcPr>
          <w:p>
            <w:r>
              <w:t>1,500</w:t>
            </w:r>
          </w:p>
        </w:tc>
        <w:tc>
          <w:tcPr>
            <w:tcW w:type="dxa" w:w="2436"/>
          </w:tcPr>
          <w:p>
            <w:r>
              <w:t>Client monitoring</w:t>
            </w:r>
          </w:p>
        </w:tc>
      </w:tr>
      <w:tr>
        <w:tc>
          <w:tcPr>
            <w:tcW w:type="dxa" w:w="2436"/>
          </w:tcPr>
          <w:p>
            <w:r>
              <w:t>Stage 5 / 6</w:t>
            </w:r>
          </w:p>
        </w:tc>
        <w:tc>
          <w:tcPr>
            <w:tcW w:type="dxa" w:w="2436"/>
          </w:tcPr>
          <w:p>
            <w:r>
              <w:t>—</w:t>
            </w:r>
          </w:p>
        </w:tc>
        <w:tc>
          <w:tcPr>
            <w:tcW w:type="dxa" w:w="2436"/>
          </w:tcPr>
          <w:p>
            <w:r>
              <w:t>5,000</w:t>
            </w:r>
          </w:p>
        </w:tc>
        <w:tc>
          <w:tcPr>
            <w:tcW w:type="dxa" w:w="2436"/>
          </w:tcPr>
          <w:p>
            <w:r>
              <w:t>Client monitoring</w:t>
            </w:r>
          </w:p>
        </w:tc>
      </w:tr>
      <w:tr>
        <w:tc>
          <w:tcPr>
            <w:tcW w:type="dxa" w:w="2436"/>
          </w:tcPr>
          <w:p>
            <w:r>
              <w:t>Total</w:t>
            </w:r>
          </w:p>
        </w:tc>
        <w:tc>
          <w:tcPr>
            <w:tcW w:type="dxa" w:w="2436"/>
          </w:tcPr>
          <w:p>
            <w:r/>
          </w:p>
        </w:tc>
        <w:tc>
          <w:tcPr>
            <w:tcW w:type="dxa" w:w="2436"/>
          </w:tcPr>
          <w:p>
            <w:r/>
          </w:p>
        </w:tc>
        <w:tc>
          <w:tcPr>
            <w:tcW w:type="dxa" w:w="2436"/>
          </w:tcPr>
          <w:p>
            <w:r>
              <w:t>Combined total £21,500</w:t>
            </w:r>
          </w:p>
        </w:tc>
      </w:tr>
    </w:tbl>
    <w:p/>
    <w:p>
      <w:r>
        <w:t>Optional fees for BREEAM can be found below:-</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RIBA Stage</w:t>
            </w:r>
          </w:p>
        </w:tc>
        <w:tc>
          <w:tcPr>
            <w:tcW w:type="dxa" w:w="2436"/>
          </w:tcPr>
          <w:p>
            <w:r>
              <w:rPr>
                <w:b/>
              </w:rPr>
              <w:t>BREEAM (£)</w:t>
            </w:r>
          </w:p>
        </w:tc>
        <w:tc>
          <w:tcPr>
            <w:tcW w:type="dxa" w:w="2436"/>
          </w:tcPr>
          <w:p>
            <w:r>
              <w:rPr>
                <w:b/>
              </w:rPr>
              <w:t>BREEAM AP (£)</w:t>
            </w:r>
          </w:p>
        </w:tc>
        <w:tc>
          <w:tcPr>
            <w:tcW w:type="dxa" w:w="2436"/>
          </w:tcPr>
          <w:p>
            <w:r>
              <w:rPr>
                <w:b/>
              </w:rPr>
              <w:t>Notes</w:t>
            </w:r>
          </w:p>
        </w:tc>
      </w:tr>
      <w:tr>
        <w:tc>
          <w:tcPr>
            <w:tcW w:type="dxa" w:w="2436"/>
          </w:tcPr>
          <w:p>
            <w:r>
              <w:t>Stage 2</w:t>
            </w:r>
          </w:p>
        </w:tc>
        <w:tc>
          <w:tcPr>
            <w:tcW w:type="dxa" w:w="2436"/>
          </w:tcPr>
          <w:p>
            <w:r>
              <w:t>1,700</w:t>
            </w:r>
          </w:p>
        </w:tc>
        <w:tc>
          <w:tcPr>
            <w:tcW w:type="dxa" w:w="2436"/>
          </w:tcPr>
          <w:p>
            <w:r>
              <w:t>2,400</w:t>
            </w:r>
          </w:p>
        </w:tc>
        <w:tc>
          <w:tcPr>
            <w:tcW w:type="dxa" w:w="2436"/>
          </w:tcPr>
          <w:p>
            <w:r/>
          </w:p>
        </w:tc>
      </w:tr>
      <w:tr>
        <w:tc>
          <w:tcPr>
            <w:tcW w:type="dxa" w:w="2436"/>
          </w:tcPr>
          <w:p>
            <w:r>
              <w:t>Stage 3 Plus (tender documents)</w:t>
            </w:r>
          </w:p>
        </w:tc>
        <w:tc>
          <w:tcPr>
            <w:tcW w:type="dxa" w:w="2436"/>
          </w:tcPr>
          <w:p>
            <w:r>
              <w:t>nil</w:t>
            </w:r>
          </w:p>
        </w:tc>
        <w:tc>
          <w:tcPr>
            <w:tcW w:type="dxa" w:w="2436"/>
          </w:tcPr>
          <w:p>
            <w:r>
              <w:t>3,600</w:t>
            </w:r>
          </w:p>
        </w:tc>
        <w:tc>
          <w:tcPr>
            <w:tcW w:type="dxa" w:w="2436"/>
          </w:tcPr>
          <w:p>
            <w:r/>
          </w:p>
        </w:tc>
      </w:tr>
      <w:tr>
        <w:tc>
          <w:tcPr>
            <w:tcW w:type="dxa" w:w="2436"/>
          </w:tcPr>
          <w:p>
            <w:r>
              <w:t>Stage 4 i/ii/iii</w:t>
            </w:r>
          </w:p>
        </w:tc>
        <w:tc>
          <w:tcPr>
            <w:tcW w:type="dxa" w:w="2436"/>
          </w:tcPr>
          <w:p>
            <w:r>
              <w:t>9,000</w:t>
            </w:r>
          </w:p>
        </w:tc>
        <w:tc>
          <w:tcPr>
            <w:tcW w:type="dxa" w:w="2436"/>
          </w:tcPr>
          <w:p>
            <w:r>
              <w:t>3,600</w:t>
            </w:r>
          </w:p>
        </w:tc>
        <w:tc>
          <w:tcPr>
            <w:tcW w:type="dxa" w:w="2436"/>
          </w:tcPr>
          <w:p>
            <w:r/>
          </w:p>
        </w:tc>
      </w:tr>
      <w:tr>
        <w:tc>
          <w:tcPr>
            <w:tcW w:type="dxa" w:w="2436"/>
          </w:tcPr>
          <w:p>
            <w:r>
              <w:t>Stage 5 / 6</w:t>
            </w:r>
          </w:p>
        </w:tc>
        <w:tc>
          <w:tcPr>
            <w:tcW w:type="dxa" w:w="2436"/>
          </w:tcPr>
          <w:p>
            <w:r>
              <w:t>8,000</w:t>
            </w:r>
          </w:p>
        </w:tc>
        <w:tc>
          <w:tcPr>
            <w:tcW w:type="dxa" w:w="2436"/>
          </w:tcPr>
          <w:p>
            <w:r>
              <w:t>10,800</w:t>
            </w:r>
          </w:p>
        </w:tc>
        <w:tc>
          <w:tcPr>
            <w:tcW w:type="dxa" w:w="2436"/>
          </w:tcPr>
          <w:p>
            <w:r/>
          </w:p>
        </w:tc>
      </w:tr>
      <w:tr>
        <w:tc>
          <w:tcPr>
            <w:tcW w:type="dxa" w:w="2436"/>
          </w:tcPr>
          <w:p>
            <w:r>
              <w:t>Total</w:t>
            </w:r>
          </w:p>
        </w:tc>
        <w:tc>
          <w:tcPr>
            <w:tcW w:type="dxa" w:w="2436"/>
          </w:tcPr>
          <w:p>
            <w:r/>
          </w:p>
        </w:tc>
        <w:tc>
          <w:tcPr>
            <w:tcW w:type="dxa" w:w="2436"/>
          </w:tcPr>
          <w:p>
            <w:r/>
          </w:p>
        </w:tc>
        <w:tc>
          <w:tcPr>
            <w:tcW w:type="dxa" w:w="2436"/>
          </w:tcPr>
          <w:p>
            <w:r>
              <w:t>Combined total £39,100</w:t>
            </w:r>
          </w:p>
        </w:tc>
      </w:tr>
    </w:tbl>
    <w:p/>
    <w:p>
      <w:pPr>
        <w:pStyle w:val="Heading2"/>
      </w:pPr>
      <w:r>
        <w:t>Clarifications</w:t>
      </w:r>
    </w:p>
    <w:p>
      <w:pPr>
        <w:pStyle w:val="ListBullet"/>
      </w:pPr>
      <w:r>
        <w:t>Fees quoted exclude VAT, which will be charged at the prevailing rate.</w:t>
      </w:r>
    </w:p>
    <w:p>
      <w:pPr>
        <w:pStyle w:val="ListBullet"/>
      </w:pPr>
      <w:r>
        <w:t>Fees include normal expenses; as the project is in Elephant and Castle, we expect this to be minimal.</w:t>
      </w:r>
    </w:p>
    <w:p>
      <w:pPr>
        <w:pStyle w:val="ListBullet"/>
      </w:pPr>
      <w:r>
        <w:t>MEP fees are based on an anticipated design programme of 10 weeks for Stage 2 (to 14/05/25), 19 weeks for Stage 3+ (to 15/10/25), and a construction stage of 52 weeks of main works (05/02/26 → 17/02/27) plus 13 weeks of programme contingency to target completion on 16/06/27.</w:t>
      </w:r>
    </w:p>
    <w:p>
      <w:pPr>
        <w:pStyle w:val="ListBullet"/>
      </w:pPr>
      <w:r>
        <w:t>Assumes no planning deliverables. The principal reconfiguration works do not require a planning application per the Maddox Planning note dated 11/02/2025, save for any application arising from lifts, ASHPs or associated rooftop plant; an updated CIL position is also assumed unlikely.</w:t>
      </w:r>
    </w:p>
    <w:p>
      <w:pPr>
        <w:pStyle w:val="ListBullet"/>
      </w:pPr>
      <w:r>
        <w:t>Assumes Stage 4i design undertaken by the MEP contractor. Scotch Partners are able to undertake the 4ii/iii design role if required by the sub-contractor.</w:t>
      </w:r>
    </w:p>
    <w:p>
      <w:pPr>
        <w:pStyle w:val="ListBullet"/>
      </w:pPr>
      <w:r>
        <w:t>Client monitoring role only across Stages 4–6 (no novation allowed for).</w:t>
      </w:r>
    </w:p>
    <w:p>
      <w:pPr>
        <w:pStyle w:val="ListBullet"/>
      </w:pPr>
      <w:r>
        <w:t>No MEP scope of works was provided as part of the RFP. We have therefore provided a scope of works as an appendix to this document.</w:t>
      </w:r>
    </w:p>
    <w:p>
      <w:pPr>
        <w:pStyle w:val="ListBullet"/>
      </w:pPr>
      <w:r>
        <w:t>We have allowed for above-ground drainage. We have not allowed for below-ground or slab drainage (including pumping etc.), as we assume this will form part of the civil and structural engineers' scope. The CCTV survey of existing below-ground drainage referenced in the RFP "Next Steps" is assumed to be commissioned separately by LGL.</w:t>
      </w:r>
    </w:p>
    <w:p>
      <w:pPr>
        <w:pStyle w:val="ListBullet"/>
      </w:pPr>
      <w:r>
        <w:t>Cold-water flow and pressure tests referenced in the RFP "Next Steps" are assumed to be commissioned separately by LGL.</w:t>
      </w:r>
    </w:p>
    <w:p>
      <w:pPr>
        <w:pStyle w:val="ListBullet"/>
      </w:pPr>
      <w:r>
        <w:t>Fire engineering excluded. We understand that Ben Green of Semper is retained as fire consultant; our MEP design will co-ordinate with the Semper-approved strategy (sprinklering throughout for the &gt;11 m residential application, evacuation lifts with backup power, and dry risers per stair core if required).</w:t>
      </w:r>
    </w:p>
    <w:p>
      <w:pPr>
        <w:pStyle w:val="ListBullet"/>
      </w:pPr>
      <w:r>
        <w:t>Lift design excluded. We will provide MEP interfaces only, including definition of the emergency generator backup requirement for the evacuation lifts in conjunction with the appointed lift specialist.</w:t>
      </w:r>
    </w:p>
    <w:p>
      <w:pPr>
        <w:pStyle w:val="ListBullet"/>
      </w:pPr>
      <w:r>
        <w:t>Energy clarification — we have included 5 no. EPC options tests and 3 no. thermal comfort options at Stage 2. Stage 3+ fees assume a fixed design.</w:t>
      </w:r>
    </w:p>
    <w:p>
      <w:pPr>
        <w:pStyle w:val="ListBullet"/>
      </w:pPr>
      <w:r>
        <w:t>Fees are based on the EPC methodology at the time of writing. EPC and Part L methodology are under consultation by the government and may be updated during the construction period.</w:t>
      </w:r>
    </w:p>
    <w:p>
      <w:pPr>
        <w:pStyle w:val="ListBullet"/>
      </w:pPr>
      <w:r>
        <w:t>We have not included for a lodged EPC at the end of construction. This is assumed to be the contractor's responsibility.</w:t>
      </w:r>
    </w:p>
    <w:p>
      <w:pPr>
        <w:pStyle w:val="ListBullet"/>
      </w:pPr>
      <w:r>
        <w:t>We have not included for an Energy Statement at planning, as this is understood not to be required.</w:t>
      </w:r>
    </w:p>
    <w:p>
      <w:pPr>
        <w:pStyle w:val="ListBullet"/>
      </w:pPr>
      <w:r>
        <w:t>Scheme assumed to be 'non domestic' as per guidance from the project planning consultant and client. Part O (overheating in dwellings) does not apply, as the works are to an existing Sui Generis building rather than a new-build residential development.</w:t>
      </w:r>
    </w:p>
    <w:p>
      <w:pPr>
        <w:pStyle w:val="ListBullet"/>
      </w:pPr>
      <w:r>
        <w:t>No on-site acoustic testing — to be undertaken by the contractor — review only by Scotch.</w:t>
      </w:r>
    </w:p>
    <w:p>
      <w:pPr>
        <w:pStyle w:val="ListBullet"/>
      </w:pPr>
      <w:r>
        <w:t>Vibration excluded.</w:t>
      </w:r>
    </w:p>
    <w:p>
      <w:pPr>
        <w:pStyle w:val="ListBullet"/>
      </w:pPr>
      <w:r>
        <w:t>Intrusive asbestos survey assumed to be commissioned separately by LGL ahead of any soft-strip works, per the RFP "Next Steps"; review only by Scotch.</w:t>
      </w:r>
    </w:p>
    <w:p>
      <w:pPr>
        <w:pStyle w:val="ListBullet"/>
      </w:pPr>
      <w:r>
        <w:t>Substation chamber on the ground floor (leased to London Power Networks PLC since 1991) assumed to be retained in its current form; no allowance has been made for substation works or re-provision.</w:t>
      </w:r>
    </w:p>
    <w:p>
      <w:pPr>
        <w:pStyle w:val="Heading2"/>
      </w:pPr>
      <w:r>
        <w:t>Time Charge Rates</w:t>
      </w:r>
    </w:p>
    <w:p>
      <w:r>
        <w:t>Our rates for management, design and advisory activities are as follows (note that these rates will differ from our rates used to calculate the fee — this is not a mistake). The rates below would be used to inform additional fees on a time-charge basis if required:</w:t>
      </w:r>
    </w:p>
    <w:tbl>
      <w:tblPr>
        <w:tblStyle w:val="LightGrid-Accent1"/>
        <w:tblW w:type="auto" w:w="0"/>
        <w:tblLook w:firstColumn="1" w:firstRow="1" w:lastColumn="0" w:lastRow="0" w:noHBand="0" w:noVBand="1" w:val="04A0"/>
      </w:tblPr>
      <w:tblGrid>
        <w:gridCol w:w="4873"/>
        <w:gridCol w:w="4873"/>
      </w:tblGrid>
      <w:tr>
        <w:tc>
          <w:tcPr>
            <w:tcW w:type="dxa" w:w="4873"/>
          </w:tcPr>
          <w:p>
            <w:r>
              <w:rPr>
                <w:b/>
              </w:rPr>
              <w:t>Grade</w:t>
            </w:r>
          </w:p>
        </w:tc>
        <w:tc>
          <w:tcPr>
            <w:tcW w:type="dxa" w:w="4873"/>
          </w:tcPr>
          <w:p>
            <w:r>
              <w:rPr>
                <w:b/>
              </w:rPr>
              <w:t>Rate £/hour</w:t>
            </w:r>
          </w:p>
        </w:tc>
      </w:tr>
      <w:tr>
        <w:tc>
          <w:tcPr>
            <w:tcW w:type="dxa" w:w="4873"/>
          </w:tcPr>
          <w:p>
            <w:r>
              <w:t>Partner</w:t>
            </w:r>
          </w:p>
        </w:tc>
        <w:tc>
          <w:tcPr>
            <w:tcW w:type="dxa" w:w="4873"/>
          </w:tcPr>
          <w:p>
            <w:r>
              <w:t>135.00</w:t>
            </w:r>
          </w:p>
        </w:tc>
      </w:tr>
      <w:tr>
        <w:tc>
          <w:tcPr>
            <w:tcW w:type="dxa" w:w="4873"/>
          </w:tcPr>
          <w:p>
            <w:r>
              <w:t>Technical Director</w:t>
            </w:r>
          </w:p>
        </w:tc>
        <w:tc>
          <w:tcPr>
            <w:tcW w:type="dxa" w:w="4873"/>
          </w:tcPr>
          <w:p>
            <w:r>
              <w:t>105.00</w:t>
            </w:r>
          </w:p>
        </w:tc>
      </w:tr>
      <w:tr>
        <w:tc>
          <w:tcPr>
            <w:tcW w:type="dxa" w:w="4873"/>
          </w:tcPr>
          <w:p>
            <w:r>
              <w:t>Principal Engineer / Consultant</w:t>
            </w:r>
          </w:p>
        </w:tc>
        <w:tc>
          <w:tcPr>
            <w:tcW w:type="dxa" w:w="4873"/>
          </w:tcPr>
          <w:p>
            <w:r>
              <w:t>92.00</w:t>
            </w:r>
          </w:p>
        </w:tc>
      </w:tr>
      <w:tr>
        <w:tc>
          <w:tcPr>
            <w:tcW w:type="dxa" w:w="4873"/>
          </w:tcPr>
          <w:p>
            <w:r>
              <w:t>Senior Engineer / Consultant</w:t>
            </w:r>
          </w:p>
        </w:tc>
        <w:tc>
          <w:tcPr>
            <w:tcW w:type="dxa" w:w="4873"/>
          </w:tcPr>
          <w:p>
            <w:r>
              <w:t>80.00</w:t>
            </w:r>
          </w:p>
        </w:tc>
      </w:tr>
      <w:tr>
        <w:tc>
          <w:tcPr>
            <w:tcW w:type="dxa" w:w="4873"/>
          </w:tcPr>
          <w:p>
            <w:r>
              <w:t>Engineer / Consultant</w:t>
            </w:r>
          </w:p>
        </w:tc>
        <w:tc>
          <w:tcPr>
            <w:tcW w:type="dxa" w:w="4873"/>
          </w:tcPr>
          <w:p>
            <w:r>
              <w:t>65.00</w:t>
            </w:r>
          </w:p>
        </w:tc>
      </w:tr>
      <w:tr>
        <w:tc>
          <w:tcPr>
            <w:tcW w:type="dxa" w:w="4873"/>
          </w:tcPr>
          <w:p>
            <w:r>
              <w:t>Assistant / Graduate</w:t>
            </w:r>
          </w:p>
        </w:tc>
        <w:tc>
          <w:tcPr>
            <w:tcW w:type="dxa" w:w="4873"/>
          </w:tcPr>
          <w:p>
            <w:r>
              <w:t>55.00</w:t>
            </w:r>
          </w:p>
        </w:tc>
      </w:tr>
    </w:tbl>
    <w:p/>
    <w:p>
      <w:pPr>
        <w:pStyle w:val="Heading2"/>
      </w:pPr>
      <w:r>
        <w:t>Insurance</w:t>
      </w:r>
    </w:p>
    <w:p>
      <w:r>
        <w:t>Our insurance covers the project requirements as confirmed in the table below. For ease, a copy of our certificates is included within this section of the response.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Cover</w:t>
            </w:r>
          </w:p>
        </w:tc>
        <w:tc>
          <w:tcPr>
            <w:tcW w:type="dxa" w:w="2436"/>
          </w:tcPr>
          <w:p>
            <w:r>
              <w:rPr>
                <w:b/>
              </w:rPr>
              <w:t>Value</w:t>
            </w:r>
          </w:p>
        </w:tc>
        <w:tc>
          <w:tcPr>
            <w:tcW w:type="dxa" w:w="2436"/>
          </w:tcPr>
          <w:p>
            <w:r>
              <w:rPr>
                <w:b/>
              </w:rPr>
              <w:t>Provider</w:t>
            </w:r>
          </w:p>
        </w:tc>
        <w:tc>
          <w:tcPr>
            <w:tcW w:type="dxa" w:w="2436"/>
          </w:tcPr>
          <w:p>
            <w:r>
              <w:rPr>
                <w:b/>
              </w:rPr>
              <w:t>Expiry</w:t>
            </w:r>
          </w:p>
        </w:tc>
      </w:tr>
      <w:tr>
        <w:tc>
          <w:tcPr>
            <w:tcW w:type="dxa" w:w="2436"/>
          </w:tcPr>
          <w:p>
            <w:r>
              <w:t>Professional Indemnity Insurance</w:t>
            </w:r>
          </w:p>
        </w:tc>
        <w:tc>
          <w:tcPr>
            <w:tcW w:type="dxa" w:w="2436"/>
          </w:tcPr>
          <w:p>
            <w:r>
              <w:t>£10M — for each and every</w:t>
            </w:r>
          </w:p>
        </w:tc>
        <w:tc>
          <w:tcPr>
            <w:tcW w:type="dxa" w:w="2436"/>
          </w:tcPr>
          <w:p>
            <w:r>
              <w:t>Allied World Assurance Company (through Dixons Commercial Insurance Brokers)</w:t>
            </w:r>
          </w:p>
        </w:tc>
        <w:tc>
          <w:tcPr>
            <w:tcW w:type="dxa" w:w="2436"/>
          </w:tcPr>
          <w:p>
            <w:r>
              <w:t>9 September 2025</w:t>
            </w:r>
          </w:p>
        </w:tc>
      </w:tr>
      <w:tr>
        <w:tc>
          <w:tcPr>
            <w:tcW w:type="dxa" w:w="2436"/>
          </w:tcPr>
          <w:p>
            <w:r>
              <w:t>Employer Liability Insurance</w:t>
            </w:r>
          </w:p>
        </w:tc>
        <w:tc>
          <w:tcPr>
            <w:tcW w:type="dxa" w:w="2436"/>
          </w:tcPr>
          <w:p>
            <w:r>
              <w:t>£10M</w:t>
            </w:r>
          </w:p>
        </w:tc>
        <w:tc>
          <w:tcPr>
            <w:tcW w:type="dxa" w:w="2436"/>
          </w:tcPr>
          <w:p>
            <w:r>
              <w:t>Aviva Insurance Group (through Dixons Commercial Insurance Brokers)</w:t>
            </w:r>
          </w:p>
        </w:tc>
        <w:tc>
          <w:tcPr>
            <w:tcW w:type="dxa" w:w="2436"/>
          </w:tcPr>
          <w:p>
            <w:r>
              <w:t>20 July 2025</w:t>
            </w:r>
          </w:p>
        </w:tc>
      </w:tr>
      <w:tr>
        <w:tc>
          <w:tcPr>
            <w:tcW w:type="dxa" w:w="2436"/>
          </w:tcPr>
          <w:p>
            <w:r>
              <w:t>Public Liability Insurance</w:t>
            </w:r>
          </w:p>
        </w:tc>
        <w:tc>
          <w:tcPr>
            <w:tcW w:type="dxa" w:w="2436"/>
          </w:tcPr>
          <w:p>
            <w:r>
              <w:t>£10M</w:t>
            </w:r>
          </w:p>
        </w:tc>
        <w:tc>
          <w:tcPr>
            <w:tcW w:type="dxa" w:w="2436"/>
          </w:tcPr>
          <w:p>
            <w:r>
              <w:t>Aviva Insurance Group (through Dixons Commercial Insurance Brokers)</w:t>
            </w:r>
          </w:p>
        </w:tc>
        <w:tc>
          <w:tcPr>
            <w:tcW w:type="dxa" w:w="2436"/>
          </w:tcPr>
          <w:p>
            <w:r>
              <w:t>20 July 2025</w:t>
            </w:r>
          </w:p>
        </w:tc>
      </w:tr>
    </w:tbl>
    <w:p/>
    <w:p>
      <w:r>
        <w:br w:type="page"/>
      </w:r>
    </w:p>
    <w:p>
      <w:pPr>
        <w:pStyle w:val="Heading1"/>
      </w:pPr>
      <w:r>
        <w:t>Appendix A — MEP and Energy Scope of Services</w:t>
      </w:r>
    </w:p>
    <w:p>
      <w:pPr>
        <w:pStyle w:val="Heading2"/>
      </w:pPr>
      <w:r>
        <w:t>MEP Scope of Services</w:t>
      </w:r>
    </w:p>
    <w:p>
      <w:pPr>
        <w:pStyle w:val="Heading3"/>
      </w:pPr>
      <w:r>
        <w:t>Briefing — Stage 1</w:t>
      </w:r>
    </w:p>
    <w:p>
      <w:r>
        <w:t>Undertaken already as part of the acquisition stage of the scheme; the Scotch report dated 31/01/2025 sets out the recommended MEP interventions and EPC uplift route.</w:t>
      </w:r>
    </w:p>
    <w:p>
      <w:pPr>
        <w:pStyle w:val="Heading3"/>
      </w:pPr>
      <w:r>
        <w:t>Concept Design — Stage 2</w:t>
      </w:r>
    </w:p>
    <w:p>
      <w:r>
        <w:t>Deliverables:</w:t>
      </w:r>
    </w:p>
    <w:p>
      <w:pPr>
        <w:pStyle w:val="ListBullet"/>
      </w:pPr>
      <w:r>
        <w:t>Building services issues report as part of the concept design report, including a desk study on matters affecting design options:</w:t>
      </w:r>
    </w:p>
    <w:p>
      <w:pPr>
        <w:pStyle w:val="ListBullet2"/>
      </w:pPr>
      <w:r>
        <w:t>recommendations for renewables (including ASHP location feasibility for each block roof)</w:t>
      </w:r>
    </w:p>
    <w:p>
      <w:pPr>
        <w:pStyle w:val="ListBullet2"/>
      </w:pPr>
      <w:r>
        <w:t>lift MEP interfaces (lift design excluded)</w:t>
      </w:r>
    </w:p>
    <w:p>
      <w:pPr>
        <w:pStyle w:val="ListBullet2"/>
      </w:pPr>
      <w:r>
        <w:t>environmental assessments</w:t>
      </w:r>
    </w:p>
    <w:p>
      <w:pPr>
        <w:pStyle w:val="ListBullet2"/>
      </w:pPr>
      <w:r>
        <w:t>Building Control requirements</w:t>
      </w:r>
    </w:p>
    <w:p>
      <w:pPr>
        <w:pStyle w:val="ListBullet2"/>
      </w:pPr>
      <w:r>
        <w:t>noise and acoustic measures (MEP plant only)</w:t>
      </w:r>
    </w:p>
    <w:p>
      <w:pPr>
        <w:pStyle w:val="ListBullet2"/>
      </w:pPr>
      <w:r>
        <w:t>fire and smoke control measures in respect of MEP services</w:t>
      </w:r>
    </w:p>
    <w:p>
      <w:pPr>
        <w:pStyle w:val="ListBullet2"/>
      </w:pPr>
      <w:r>
        <w:t>adequacy of utilities supplies (incoming electrical, water, drainage)</w:t>
      </w:r>
    </w:p>
    <w:p>
      <w:pPr>
        <w:pStyle w:val="ListBullet2"/>
      </w:pPr>
      <w:r>
        <w:t>constraints arising from the brief or local authority policy</w:t>
      </w:r>
    </w:p>
    <w:p>
      <w:pPr>
        <w:pStyle w:val="ListBullet2"/>
      </w:pPr>
      <w:r>
        <w:t>research on innovative solutions</w:t>
      </w:r>
    </w:p>
    <w:p>
      <w:pPr>
        <w:pStyle w:val="ListBullet"/>
      </w:pPr>
      <w:r>
        <w:t>Concept design model with appropriate geometric detail and object information</w:t>
      </w:r>
    </w:p>
    <w:p>
      <w:pPr>
        <w:pStyle w:val="ListBullet"/>
      </w:pPr>
      <w:r>
        <w:t>Concept sketch drawings for the preferred preliminary design(s)</w:t>
      </w:r>
    </w:p>
    <w:p>
      <w:pPr>
        <w:pStyle w:val="ListBullet"/>
      </w:pPr>
      <w:r>
        <w:t>Concept schematics for the preferred preliminary design(s)</w:t>
      </w:r>
    </w:p>
    <w:p>
      <w:pPr>
        <w:pStyle w:val="ListBullet"/>
      </w:pPr>
      <w:r>
        <w:t>Information for early-stage life-cycle cost and life-cycle assessment studies</w:t>
      </w:r>
    </w:p>
    <w:p>
      <w:pPr>
        <w:pStyle w:val="ListBullet"/>
      </w:pPr>
      <w:r>
        <w:t>Cost-plan support for building services based on floor area, building type and system assumptions</w:t>
      </w:r>
    </w:p>
    <w:p>
      <w:pPr>
        <w:pStyle w:val="ListBullet"/>
      </w:pPr>
      <w:r>
        <w:t>High-level metering strategy</w:t>
      </w:r>
    </w:p>
    <w:p>
      <w:pPr>
        <w:pStyle w:val="Heading3"/>
      </w:pPr>
      <w:r>
        <w:t>Scheme Design — Stage 3 Plus (tender documentation)</w:t>
      </w:r>
    </w:p>
    <w:p>
      <w:r>
        <w:t>Deliverables:</w:t>
      </w:r>
    </w:p>
    <w:p>
      <w:pPr>
        <w:pStyle w:val="ListBullet"/>
      </w:pPr>
      <w:r>
        <w:t>Work alongside any PCSA-appointed contractor in developing additional packages</w:t>
      </w:r>
    </w:p>
    <w:p>
      <w:pPr>
        <w:pStyle w:val="ListBullet"/>
      </w:pPr>
      <w:r>
        <w:t>Identify long-lead items with the contractor and develop the design to a level at which procurement could occur (e.g. AHUs, generators)</w:t>
      </w:r>
    </w:p>
    <w:p>
      <w:pPr>
        <w:pStyle w:val="ListBullet"/>
      </w:pPr>
      <w:r>
        <w:t>Updated building services issues report at developed-design stage, including a desk study on:</w:t>
      </w:r>
    </w:p>
    <w:p>
      <w:pPr>
        <w:pStyle w:val="ListBullet2"/>
      </w:pPr>
      <w:r>
        <w:t>renewables recommendations</w:t>
      </w:r>
    </w:p>
    <w:p>
      <w:pPr>
        <w:pStyle w:val="ListBullet2"/>
      </w:pPr>
      <w:r>
        <w:t>considerations for off-site manufacture</w:t>
      </w:r>
    </w:p>
    <w:p>
      <w:pPr>
        <w:pStyle w:val="ListBullet2"/>
      </w:pPr>
      <w:r>
        <w:t>environmental assessments</w:t>
      </w:r>
    </w:p>
    <w:p>
      <w:pPr>
        <w:pStyle w:val="ListBullet2"/>
      </w:pPr>
      <w:r>
        <w:t>Building Control requirements</w:t>
      </w:r>
    </w:p>
    <w:p>
      <w:pPr>
        <w:pStyle w:val="ListBullet2"/>
      </w:pPr>
      <w:r>
        <w:t>noise and acoustic measures, as advised by the project acoustic consultant</w:t>
      </w:r>
    </w:p>
    <w:p>
      <w:pPr>
        <w:pStyle w:val="ListBullet2"/>
      </w:pPr>
      <w:r>
        <w:t>fire and smoke control measures in respect of MEP services</w:t>
      </w:r>
    </w:p>
    <w:p>
      <w:pPr>
        <w:pStyle w:val="ListBullet2"/>
      </w:pPr>
      <w:r>
        <w:t>adequacy of utilities supplies</w:t>
      </w:r>
    </w:p>
    <w:p>
      <w:pPr>
        <w:pStyle w:val="ListBullet"/>
      </w:pPr>
      <w:r>
        <w:t>Updated energy statement for planning submission, where required, based on the agreed energy strategy</w:t>
      </w:r>
    </w:p>
    <w:p>
      <w:pPr>
        <w:pStyle w:val="ListBullet"/>
      </w:pPr>
      <w:r>
        <w:t>Updated design risk assessments</w:t>
      </w:r>
    </w:p>
    <w:p>
      <w:pPr>
        <w:pStyle w:val="ListBullet"/>
      </w:pPr>
      <w:r>
        <w:t>Performance tender specifications and/or main plant equipment schedules for MEP services</w:t>
      </w:r>
    </w:p>
    <w:p>
      <w:pPr>
        <w:pStyle w:val="ListBullet"/>
      </w:pPr>
      <w:r>
        <w:t>Developed design (BSRIA 3a) model with appropriate geometric detail and object information</w:t>
      </w:r>
    </w:p>
    <w:p>
      <w:pPr>
        <w:pStyle w:val="ListBullet"/>
      </w:pPr>
      <w:r>
        <w:t>Developed design (BSRIA 3a) sketch drawings and schematics for the preferred design(s)</w:t>
      </w:r>
    </w:p>
    <w:p>
      <w:pPr>
        <w:pStyle w:val="ListBullet"/>
      </w:pPr>
      <w:r>
        <w:t>Updated information for life-cycle cost and life-cycle assessment studies</w:t>
      </w:r>
    </w:p>
    <w:p>
      <w:pPr>
        <w:pStyle w:val="ListBullet"/>
      </w:pPr>
      <w:r>
        <w:t>Developed design input into the (BSRIA 3a) cost plan for building services</w:t>
      </w:r>
    </w:p>
    <w:p>
      <w:pPr>
        <w:pStyle w:val="ListBullet"/>
      </w:pPr>
      <w:r>
        <w:t>Updated metering strategy</w:t>
      </w:r>
    </w:p>
    <w:p>
      <w:pPr>
        <w:pStyle w:val="ListBullet"/>
      </w:pPr>
      <w:r>
        <w:t>Provision of Employer's Requirements and associated tender documents (if required)</w:t>
      </w:r>
    </w:p>
    <w:p>
      <w:pPr>
        <w:pStyle w:val="Heading3"/>
      </w:pPr>
      <w:r>
        <w:t>Detailed Design — Stage 4 i, ii, iii</w:t>
      </w:r>
    </w:p>
    <w:p>
      <w:r>
        <w:t>Scotch to undertake a client monitoring role on the final MEP design — one iteration of comments and a final check that the contractor has addressed those comments.</w:t>
      </w:r>
    </w:p>
    <w:p>
      <w:pPr>
        <w:pStyle w:val="Heading3"/>
      </w:pPr>
      <w:r>
        <w:t>Construction — Stage 5</w:t>
      </w:r>
    </w:p>
    <w:p>
      <w:pPr>
        <w:pStyle w:val="ListBullet"/>
      </w:pPr>
      <w:r>
        <w:t>Sample review and comment on the Contractor's installation drawings and technical submissions against the agreed Employer's Requirements, Client Proposals and User Requirements Specification. We will review circa 100% of construction-stage MEP information, once.</w:t>
      </w:r>
    </w:p>
    <w:p>
      <w:pPr>
        <w:pStyle w:val="ListBullet"/>
      </w:pPr>
      <w:r>
        <w:t>Raise observations and any areas of non-compliance to the Clerk of Works.</w:t>
      </w:r>
    </w:p>
    <w:p>
      <w:pPr>
        <w:pStyle w:val="ListBullet"/>
      </w:pPr>
      <w:r>
        <w:t>Monitor the Contractor's progress against the agreed construction programme.</w:t>
      </w:r>
    </w:p>
    <w:p>
      <w:pPr>
        <w:pStyle w:val="ListBullet"/>
      </w:pPr>
      <w:r>
        <w:t>Provide site observations and progress reports on a monthly basis.</w:t>
      </w:r>
    </w:p>
    <w:p>
      <w:pPr>
        <w:pStyle w:val="Heading3"/>
      </w:pPr>
      <w:r>
        <w:t>Construction — Stage 6</w:t>
      </w:r>
    </w:p>
    <w:p>
      <w:pPr>
        <w:pStyle w:val="ListBullet"/>
      </w:pPr>
      <w:r>
        <w:t>Review of commissioning documentation and sign-offs against the Employer's Requirements.</w:t>
      </w:r>
    </w:p>
    <w:p>
      <w:pPr>
        <w:pStyle w:val="ListBullet"/>
      </w:pPr>
      <w:r>
        <w:t>Sample witnessing of MEP systems (typically 10%).</w:t>
      </w:r>
    </w:p>
    <w:p>
      <w:pPr>
        <w:pStyle w:val="ListBullet"/>
      </w:pPr>
      <w:r>
        <w:t>Review of and comment on O&amp;M Manuals.</w:t>
      </w:r>
    </w:p>
    <w:p>
      <w:pPr>
        <w:pStyle w:val="ListBullet"/>
      </w:pPr>
      <w:r>
        <w:t>MEP status report at practical completion.</w:t>
      </w:r>
    </w:p>
    <w:p>
      <w:pPr>
        <w:pStyle w:val="ListBullet"/>
      </w:pPr>
      <w:r>
        <w:t>Attendance at the practical completion meeting.</w:t>
      </w:r>
    </w:p>
    <w:p>
      <w:pPr>
        <w:pStyle w:val="Heading2"/>
      </w:pPr>
      <w:r>
        <w:t>Energy Scope of Services</w:t>
      </w:r>
    </w:p>
    <w:p>
      <w:pPr>
        <w:pStyle w:val="Heading3"/>
      </w:pPr>
      <w:r>
        <w:t>Stage 2</w:t>
      </w:r>
    </w:p>
    <w:p>
      <w:pPr>
        <w:pStyle w:val="ListBullet"/>
      </w:pPr>
      <w:r>
        <w:t>Dynamic thermal modelling to test measures necessary to achieve EPC B (with options testing for further uplift towards EPC A where this is commercially desirable).</w:t>
      </w:r>
    </w:p>
    <w:p>
      <w:pPr>
        <w:pStyle w:val="ListBullet"/>
      </w:pPr>
      <w:r>
        <w:t>Workshop on EPC and thermal-comfort improvement measures.</w:t>
      </w:r>
    </w:p>
    <w:p>
      <w:pPr>
        <w:pStyle w:val="ListBullet"/>
      </w:pPr>
      <w:r>
        <w:t>Report / technical note presenting modelling outcomes and recommendations.</w:t>
      </w:r>
    </w:p>
    <w:p>
      <w:pPr>
        <w:pStyle w:val="ListBullet"/>
      </w:pPr>
      <w:r>
        <w:t>Attendance at design-team meetings.</w:t>
      </w:r>
    </w:p>
    <w:p>
      <w:pPr>
        <w:pStyle w:val="Heading3"/>
      </w:pPr>
      <w:r>
        <w:t>Stage 3</w:t>
      </w:r>
    </w:p>
    <w:p>
      <w:pPr>
        <w:pStyle w:val="ListBullet"/>
      </w:pPr>
      <w:r>
        <w:t>Update the dynamic thermal modelling with Stage 3 design measures to provide an indicative EPC outcome.</w:t>
      </w:r>
    </w:p>
    <w:p>
      <w:pPr>
        <w:pStyle w:val="ListBullet"/>
      </w:pPr>
      <w:r>
        <w:t>Report / technical note presenting modelling outcomes and recommendations.</w:t>
      </w:r>
    </w:p>
    <w:p>
      <w:pPr>
        <w:pStyle w:val="ListBullet"/>
      </w:pPr>
      <w:r>
        <w:t>Attendance at design-team meetings.</w:t>
      </w:r>
    </w:p>
    <w:p>
      <w:pPr>
        <w:pStyle w:val="ListBullet"/>
      </w:pPr>
      <w:r>
        <w:t>Final EPC certificate to be lodged by the contractor.</w:t>
      </w:r>
    </w:p>
    <w:p>
      <w:pPr>
        <w:pStyle w:val="Heading2"/>
      </w:pPr>
      <w:r>
        <w:t>BREEAM Scope of Services</w:t>
      </w:r>
    </w:p>
    <w:p>
      <w:pPr>
        <w:pStyle w:val="Heading3"/>
      </w:pPr>
      <w:r>
        <w:t>Stage 2</w:t>
      </w:r>
    </w:p>
    <w:p>
      <w:pPr>
        <w:pStyle w:val="ListBullet"/>
      </w:pPr>
      <w:r>
        <w:t>Workshops / meetings.</w:t>
      </w:r>
    </w:p>
    <w:p>
      <w:pPr>
        <w:pStyle w:val="ListBullet"/>
      </w:pPr>
      <w:r>
        <w:t>BREEAM AP role and Stage 2 credit support.</w:t>
      </w:r>
    </w:p>
    <w:p>
      <w:pPr>
        <w:pStyle w:val="ListBullet"/>
      </w:pPr>
      <w:r>
        <w:t>BREEAM pre-assessment.</w:t>
      </w:r>
    </w:p>
    <w:p>
      <w:pPr>
        <w:pStyle w:val="ListBullet"/>
      </w:pPr>
      <w:r>
        <w:t>Optional Stage 2 credit activities (refer to fee table).</w:t>
      </w:r>
    </w:p>
    <w:p>
      <w:pPr>
        <w:pStyle w:val="Heading3"/>
      </w:pPr>
      <w:r>
        <w:t>Stage 3 Plus</w:t>
      </w:r>
    </w:p>
    <w:p>
      <w:pPr>
        <w:pStyle w:val="ListBullet"/>
      </w:pPr>
      <w:r>
        <w:t>Workshops / meetings.</w:t>
      </w:r>
    </w:p>
    <w:p>
      <w:pPr>
        <w:pStyle w:val="ListBullet"/>
      </w:pPr>
      <w:r>
        <w:t>BREEAM AP review and monitoring.</w:t>
      </w:r>
    </w:p>
    <w:p>
      <w:pPr>
        <w:pStyle w:val="ListBullet"/>
      </w:pPr>
      <w:r>
        <w:t>Updates to the BREEAM pre-assessment.</w:t>
      </w:r>
    </w:p>
    <w:p>
      <w:pPr>
        <w:pStyle w:val="ListBullet"/>
      </w:pPr>
      <w:r>
        <w:t>BREEAM Employer's Requirements for the tender package.</w:t>
      </w:r>
    </w:p>
    <w:p>
      <w:pPr>
        <w:pStyle w:val="Heading3"/>
      </w:pPr>
      <w:r>
        <w:t>Stage 4</w:t>
      </w:r>
    </w:p>
    <w:p>
      <w:pPr>
        <w:pStyle w:val="ListBullet"/>
      </w:pPr>
      <w:r>
        <w:t>Workshops / meetings.</w:t>
      </w:r>
    </w:p>
    <w:p>
      <w:pPr>
        <w:pStyle w:val="ListBullet"/>
      </w:pPr>
      <w:r>
        <w:t>BREEAM AP review and monitoring.</w:t>
      </w:r>
    </w:p>
    <w:p>
      <w:pPr>
        <w:pStyle w:val="ListBullet"/>
      </w:pPr>
      <w:r>
        <w:t>Optional Stage 4 credit activity (Hea04 Thermal Comfort, where elected).</w:t>
      </w:r>
    </w:p>
    <w:p>
      <w:pPr>
        <w:pStyle w:val="ListBullet"/>
      </w:pPr>
      <w:r>
        <w:t>BREEAM Design Stage assessment for interim certification.</w:t>
      </w:r>
    </w:p>
    <w:p>
      <w:pPr>
        <w:pStyle w:val="Heading3"/>
      </w:pPr>
      <w:r>
        <w:t>Stage 5 / 6</w:t>
      </w:r>
    </w:p>
    <w:p>
      <w:pPr>
        <w:pStyle w:val="ListBullet"/>
      </w:pPr>
      <w:r>
        <w:t>Attendance at monthly progress meetings and site visits.</w:t>
      </w:r>
    </w:p>
    <w:p>
      <w:pPr>
        <w:pStyle w:val="ListBullet"/>
      </w:pPr>
      <w:r>
        <w:t>BREEAM AP review and monitoring.</w:t>
      </w:r>
    </w:p>
    <w:p>
      <w:pPr>
        <w:pStyle w:val="ListBullet"/>
      </w:pPr>
      <w:r>
        <w:t>BREEAM Post-Construction Review for final certification.</w:t>
      </w:r>
    </w:p>
    <w:p>
      <w:pPr>
        <w:pStyle w:val="Heading3"/>
      </w:pPr>
      <w:r>
        <w:t>Optional BREEAM credit activities</w:t>
      </w:r>
    </w:p>
    <w:tbl>
      <w:tblPr>
        <w:tblStyle w:val="LightGrid-Accent1"/>
        <w:tblW w:type="auto" w:w="0"/>
        <w:tblLook w:firstColumn="1" w:firstRow="1" w:lastColumn="0" w:lastRow="0" w:noHBand="0" w:noVBand="1" w:val="04A0"/>
      </w:tblPr>
      <w:tblGrid>
        <w:gridCol w:w="4873"/>
        <w:gridCol w:w="4873"/>
      </w:tblGrid>
      <w:tr>
        <w:tc>
          <w:tcPr>
            <w:tcW w:type="dxa" w:w="4873"/>
          </w:tcPr>
          <w:p>
            <w:r>
              <w:rPr>
                <w:b/>
              </w:rPr>
              <w:t>Stage / Credit</w:t>
            </w:r>
          </w:p>
        </w:tc>
        <w:tc>
          <w:tcPr>
            <w:tcW w:type="dxa" w:w="4873"/>
          </w:tcPr>
          <w:p>
            <w:r>
              <w:rPr>
                <w:b/>
              </w:rPr>
              <w:t>Fee</w:t>
            </w:r>
          </w:p>
        </w:tc>
      </w:tr>
      <w:tr>
        <w:tc>
          <w:tcPr>
            <w:tcW w:type="dxa" w:w="4873"/>
          </w:tcPr>
          <w:p>
            <w:r>
              <w:t>Stage 2 — Ene04 LZC Feasibility Study</w:t>
            </w:r>
          </w:p>
        </w:tc>
        <w:tc>
          <w:tcPr>
            <w:tcW w:type="dxa" w:w="4873"/>
          </w:tcPr>
          <w:p>
            <w:r>
              <w:t>£2,250</w:t>
            </w:r>
          </w:p>
        </w:tc>
      </w:tr>
      <w:tr>
        <w:tc>
          <w:tcPr>
            <w:tcW w:type="dxa" w:w="4873"/>
          </w:tcPr>
          <w:p>
            <w:r>
              <w:t>Stage 2 — Passive Design Analysis</w:t>
            </w:r>
          </w:p>
        </w:tc>
        <w:tc>
          <w:tcPr>
            <w:tcW w:type="dxa" w:w="4873"/>
          </w:tcPr>
          <w:p>
            <w:r>
              <w:t>£2,250</w:t>
            </w:r>
          </w:p>
        </w:tc>
      </w:tr>
      <w:tr>
        <w:tc>
          <w:tcPr>
            <w:tcW w:type="dxa" w:w="4873"/>
          </w:tcPr>
          <w:p>
            <w:r>
              <w:t>Stage 2 — Mat03.1 Sustainable Procurement Plan</w:t>
            </w:r>
          </w:p>
        </w:tc>
        <w:tc>
          <w:tcPr>
            <w:tcW w:type="dxa" w:w="4873"/>
          </w:tcPr>
          <w:p>
            <w:r>
              <w:t>£2,000</w:t>
            </w:r>
          </w:p>
        </w:tc>
      </w:tr>
      <w:tr>
        <w:tc>
          <w:tcPr>
            <w:tcW w:type="dxa" w:w="4873"/>
          </w:tcPr>
          <w:p>
            <w:r>
              <w:t>Stage 4 — Hea04 Thermal Comfort Assessment</w:t>
            </w:r>
          </w:p>
        </w:tc>
        <w:tc>
          <w:tcPr>
            <w:tcW w:type="dxa" w:w="4873"/>
          </w:tcPr>
          <w:p>
            <w:r>
              <w:t>£3,250</w:t>
            </w:r>
          </w:p>
        </w:tc>
      </w:tr>
    </w:tbl>
    <w:p/>
    <w:p>
      <w:r>
        <w:t>Notes:</w:t>
      </w:r>
    </w:p>
    <w:p>
      <w:pPr>
        <w:pStyle w:val="ListBullet"/>
      </w:pPr>
      <w:r>
        <w:t>Fees exclude VAT.</w:t>
      </w:r>
    </w:p>
    <w:p>
      <w:pPr>
        <w:pStyle w:val="ListBullet"/>
      </w:pPr>
      <w:r>
        <w:t>Fees exclude BRE costs relating to registration, certification, fast-track, resubmission etc.</w:t>
      </w:r>
    </w:p>
    <w:p>
      <w:pPr>
        <w:pStyle w:val="ListBullet"/>
      </w:pPr>
      <w:r>
        <w:t>BREEAM AP fees are based on the current programme. Should the programme be prolonged, we will continue invoicing at £600 / month to maintain the AP role and safeguard the AP credits.</w:t>
      </w:r>
    </w:p>
    <w:p>
      <w:pPr>
        <w:pStyle w:val="Heading2"/>
      </w:pPr>
      <w:r>
        <w:t>Acoustics Scope of Services</w:t>
      </w:r>
    </w:p>
    <w:p>
      <w:pPr>
        <w:pStyle w:val="Heading3"/>
      </w:pPr>
      <w:r>
        <w:t>RIBA Stage 2 — Planning / Concept Support</w:t>
      </w:r>
    </w:p>
    <w:p>
      <w:pPr>
        <w:pStyle w:val="ListBullet"/>
      </w:pPr>
      <w:r>
        <w:t>Gain an understanding of the scheme proposals to date and any limitations or constraints imposed on the site. Consolidate the design information produced to date and any brand standards, quality and sustainability targets that are to be adopted.</w:t>
      </w:r>
    </w:p>
    <w:p>
      <w:pPr>
        <w:pStyle w:val="ListBullet"/>
      </w:pPr>
      <w:r>
        <w:t>Identify any additional noise / vibration survey works required for design and / or planning-related works, including the rooftop ASHP locations referenced in the RFP.</w:t>
      </w:r>
    </w:p>
    <w:p>
      <w:pPr>
        <w:pStyle w:val="ListBullet"/>
      </w:pPr>
      <w:r>
        <w:t>Establish any acoustic constraints likely to be imposed by Southwark or other stakeholders, including limits to noise emission from building services plant and external noise intrusion. Conclude this with a report suitable for submission in support of any planning application that may arise from the rooftop plant or possible roof terrace.</w:t>
      </w:r>
    </w:p>
    <w:p>
      <w:pPr>
        <w:pStyle w:val="ListBullet"/>
      </w:pPr>
      <w:r>
        <w:t>Attend meetings and workshops with the design team to help develop the acoustic concept. Conclude with a report suitable for inclusion within the Stage 2 documentation.</w:t>
      </w:r>
    </w:p>
    <w:p>
      <w:pPr>
        <w:pStyle w:val="ListBullet"/>
      </w:pPr>
      <w:r>
        <w:t>Establish appropriate acoustic performance specifications for background noise levels, building services noise levels, internal sound insulation, external noise intrusion and room-acoustic performance. This will take account of good-practice guidance, BREEAM (if pursued), the Building Regulations and any client-specific requirements.</w:t>
      </w:r>
    </w:p>
    <w:p>
      <w:pPr>
        <w:pStyle w:val="Heading3"/>
      </w:pPr>
      <w:r>
        <w:t>RIBA Stage 3 — Developed Design</w:t>
      </w:r>
    </w:p>
    <w:p>
      <w:pPr>
        <w:pStyle w:val="ListBullet"/>
      </w:pPr>
      <w:r>
        <w:t>Assist the relevant engineers with development or review of:</w:t>
      </w:r>
    </w:p>
    <w:p>
      <w:pPr>
        <w:pStyle w:val="ListBullet2"/>
      </w:pPr>
      <w:r>
        <w:t>ventilation strategies</w:t>
      </w:r>
    </w:p>
    <w:p>
      <w:pPr>
        <w:pStyle w:val="ListBullet2"/>
      </w:pPr>
      <w:r>
        <w:t>façade design options</w:t>
      </w:r>
    </w:p>
    <w:p>
      <w:pPr>
        <w:pStyle w:val="ListBullet2"/>
      </w:pPr>
      <w:r>
        <w:t>suitable partitions and floors</w:t>
      </w:r>
    </w:p>
    <w:p>
      <w:pPr>
        <w:pStyle w:val="ListBullet2"/>
      </w:pPr>
      <w:r>
        <w:t>room geometry and finishes</w:t>
      </w:r>
    </w:p>
    <w:p>
      <w:pPr>
        <w:pStyle w:val="ListBullet2"/>
      </w:pPr>
      <w:r>
        <w:t>environmental noise control</w:t>
      </w:r>
    </w:p>
    <w:p>
      <w:pPr>
        <w:pStyle w:val="ListBullet2"/>
      </w:pPr>
      <w:r>
        <w:t>plant selection and building services noise control</w:t>
      </w:r>
    </w:p>
    <w:p>
      <w:pPr>
        <w:pStyle w:val="ListBullet"/>
      </w:pPr>
      <w:r>
        <w:t>Undertake any additional noise / vibration survey works required during the design stage.</w:t>
      </w:r>
    </w:p>
    <w:p>
      <w:pPr>
        <w:pStyle w:val="ListBullet"/>
      </w:pPr>
      <w:r>
        <w:t>Provide sufficient design-stage evidence to achieve any targeted acoustic credits under BREEAM, WELL etc. as necessary.</w:t>
      </w:r>
    </w:p>
    <w:p>
      <w:pPr>
        <w:pStyle w:val="ListBullet"/>
      </w:pPr>
      <w:r>
        <w:t>Attend design meetings and workshops as required.</w:t>
      </w:r>
    </w:p>
    <w:p>
      <w:pPr>
        <w:pStyle w:val="ListBullet"/>
      </w:pPr>
      <w:r>
        <w:t>Provide notes and sketches as required.</w:t>
      </w:r>
    </w:p>
    <w:p>
      <w:pPr>
        <w:pStyle w:val="ListBullet"/>
      </w:pPr>
      <w:r>
        <w:t>Provide acoustic mark-up drawings showing performance criteria.</w:t>
      </w:r>
    </w:p>
    <w:p>
      <w:pPr>
        <w:pStyle w:val="ListBullet"/>
      </w:pPr>
      <w:r>
        <w:t>Provide a report or reports containing RIBA Stage 3 commentary on:</w:t>
      </w:r>
    </w:p>
    <w:p>
      <w:pPr>
        <w:pStyle w:val="ListBullet2"/>
      </w:pPr>
      <w:r>
        <w:t>performance criteria for acceptable internal ambient noise levels</w:t>
      </w:r>
    </w:p>
    <w:p>
      <w:pPr>
        <w:pStyle w:val="ListBullet2"/>
      </w:pPr>
      <w:r>
        <w:t>external noise levels</w:t>
      </w:r>
    </w:p>
    <w:p>
      <w:pPr>
        <w:pStyle w:val="ListBullet2"/>
      </w:pPr>
      <w:r>
        <w:t>required glazing and ventilation treatments</w:t>
      </w:r>
    </w:p>
    <w:p>
      <w:pPr>
        <w:pStyle w:val="ListBullet2"/>
      </w:pPr>
      <w:r>
        <w:t>performance criteria for separating partitions, floors and roof</w:t>
      </w:r>
    </w:p>
    <w:p>
      <w:pPr>
        <w:pStyle w:val="ListBullet2"/>
      </w:pPr>
      <w:r>
        <w:t>performance criteria for building services design</w:t>
      </w:r>
    </w:p>
    <w:p>
      <w:pPr>
        <w:pStyle w:val="ListBullet2"/>
      </w:pPr>
      <w:r>
        <w:t>performance criteria for reverberation control</w:t>
      </w:r>
    </w:p>
    <w:p>
      <w:pPr>
        <w:pStyle w:val="ListBullet2"/>
      </w:pPr>
      <w:r>
        <w:t>development and review of partition, floor and roof constructions</w:t>
      </w:r>
    </w:p>
    <w:p>
      <w:pPr>
        <w:pStyle w:val="ListBullet2"/>
      </w:pPr>
      <w:r>
        <w:t>absorptive treatments for reverberation control</w:t>
      </w:r>
    </w:p>
    <w:p>
      <w:pPr>
        <w:pStyle w:val="ListBullet2"/>
      </w:pPr>
      <w:r>
        <w:t>mitigation measures for external plant noise (including the rooftop ASHPs)</w:t>
      </w:r>
    </w:p>
    <w:p>
      <w:pPr>
        <w:pStyle w:val="ListBullet2"/>
      </w:pPr>
      <w:r>
        <w:t>BREEAM / WELL compliance as necessary</w:t>
      </w:r>
    </w:p>
    <w:p>
      <w:pPr>
        <w:pStyle w:val="Heading3"/>
      </w:pPr>
      <w:r>
        <w:t>RIBA Stage 4 — Technical Design</w:t>
      </w:r>
    </w:p>
    <w:p>
      <w:r>
        <w:t>Acoustics monitoring role only — one iteration of comments on contractor documents.</w:t>
      </w:r>
    </w:p>
    <w:p>
      <w:pPr>
        <w:pStyle w:val="Heading3"/>
      </w:pPr>
      <w:r>
        <w:t>RIBA Stages 5 and 6</w:t>
      </w:r>
    </w:p>
    <w:p>
      <w:pPr>
        <w:pStyle w:val="ListBullet"/>
      </w:pPr>
      <w:r>
        <w:t>Attend tender-stage meetings as necessary.</w:t>
      </w:r>
    </w:p>
    <w:p>
      <w:pPr>
        <w:pStyle w:val="ListBullet"/>
      </w:pPr>
      <w:r>
        <w:t>Review technical proposals for compliance with the tender requirements.</w:t>
      </w:r>
    </w:p>
    <w:p>
      <w:pPr>
        <w:pStyle w:val="ListBullet"/>
      </w:pPr>
      <w:r>
        <w:t>Contribute to the tender evaluation report as required.</w:t>
      </w:r>
    </w:p>
    <w:p>
      <w:pPr>
        <w:pStyle w:val="ListBullet"/>
      </w:pPr>
      <w:r>
        <w:t>Provide ongoing assistance to the team as reasonably required.</w:t>
      </w:r>
    </w:p>
    <w:p>
      <w:pPr>
        <w:pStyle w:val="ListBullet"/>
      </w:pPr>
      <w:r>
        <w:t>Provide a Client-side advisor role throughout construction.</w:t>
      </w:r>
    </w:p>
    <w:p>
      <w:pPr>
        <w:pStyle w:val="ListBullet"/>
      </w:pPr>
      <w:r>
        <w:t>Review formal Contractor submissions that require Client sign-off in respect of acoustics.</w:t>
      </w:r>
    </w:p>
    <w:p>
      <w:pPr>
        <w:pStyle w:val="ListBullet"/>
      </w:pPr>
      <w:r>
        <w:t>Review alternative proposals from the Contractor, communicating issues clearly where Client guidance is required.</w:t>
      </w:r>
    </w:p>
    <w:p>
      <w:pPr>
        <w:pStyle w:val="ListBullet"/>
      </w:pPr>
      <w:r>
        <w:t>Undertake regular site inspections and report findings; provide guidance where relevant.</w:t>
      </w:r>
    </w:p>
    <w:p>
      <w:pPr>
        <w:pStyle w:val="ListBullet"/>
      </w:pPr>
      <w:r>
        <w:t>Review and agree acoustic testing proposals (expected to be carried out by the Contractor or a third party on their behalf) for the purpose of demonstrating compliance with the acoustic requirements.</w:t>
      </w:r>
    </w:p>
    <w:p>
      <w:pPr>
        <w:pStyle w:val="ListBullet"/>
      </w:pPr>
      <w:r>
        <w:t>Review acoustic test results and provide commentary to the Client-side team.</w:t>
      </w:r>
    </w:p>
    <w:p>
      <w:pPr>
        <w:pStyle w:val="ListBullet"/>
      </w:pPr>
      <w:r>
        <w:t>Conclude with a formal sign-off document once the acoustic requirements have been demonstrably met.</w:t>
      </w:r>
    </w:p>
    <w:p>
      <w:r>
        <w:br w:type="page"/>
      </w:r>
    </w:p>
    <w:p>
      <w:pPr>
        <w:pStyle w:val="Heading1"/>
      </w:pPr>
      <w:r>
        <w:t>Appendix B — Scotch Partners Terms &amp; Conditions</w:t>
      </w:r>
    </w:p>
    <w:p>
      <w:pPr>
        <w:pStyle w:val="IntenseQuote"/>
      </w:pPr>
      <w:r>
        <w:rPr>
          <w:b/>
        </w:rPr>
        <w:t>Note for the prototype:</w:t>
      </w:r>
      <w:r>
        <w:t xml:space="preserve"> In production, this appendix should pull Scotch's current standard appointment terms from a fixed template file rather than be regenerated. The 16-clause structure below is preserved from the example response (R02) and summarises the substance of each clause; for the issued draft, replace this section with the firm's standard terms.</w:t>
      </w:r>
    </w:p>
    <w:p>
      <w:r>
        <w:t>By instructing Scotch Partners LLP to commence the Services, you accept the appointment on the following terms, which will apply for the duration of the appointment unless we agree alternative terms in writing.</w:t>
      </w:r>
    </w:p>
    <w:p>
      <w:pPr>
        <w:pStyle w:val="ListNumber"/>
      </w:pPr>
      <w:r>
        <w:rPr>
          <w:b/>
        </w:rPr>
        <w:t>Standard of care.</w:t>
      </w:r>
      <w:r>
        <w:t xml:space="preserve"> We will exercise reasonable skill, care and diligence in performing the Services and meeting any agreed programme, subject to receipt of necessary briefing, instructions and information. If you request a variation, we will notify you as soon as reasonably practicable of the impact on cost and programme.</w:t>
      </w:r>
    </w:p>
    <w:p>
      <w:pPr>
        <w:pStyle w:val="ListNumber"/>
      </w:pPr>
      <w:r>
        <w:rPr>
          <w:b/>
        </w:rPr>
        <w:t>Invoicing.</w:t>
      </w:r>
      <w:r>
        <w:t xml:space="preserve"> Unless otherwise agreed in writing, we will invoice monthly in arrears for Services performed in the preceding calendar month, and on termination or completion. The due date for payment is two (2) days after issue; the final date is twenty-eight (28) days after the due date.</w:t>
      </w:r>
    </w:p>
    <w:p>
      <w:pPr>
        <w:pStyle w:val="ListNumber"/>
      </w:pPr>
      <w:r>
        <w:rPr>
          <w:b/>
        </w:rPr>
        <w:t>Late payment.</w:t>
      </w:r>
      <w:r>
        <w:t xml:space="preserve"> If invoices remain unpaid after the final date, we may (a) charge interest under the Late Payment of Commercial Debts (Interest) Act 1998 together with reasonable costs of recovery, and / or (b) suspend the Services until arrears and interest are paid in cleared funds, without prejudice to Clause 6.</w:t>
      </w:r>
    </w:p>
    <w:p>
      <w:pPr>
        <w:pStyle w:val="ListNumber"/>
      </w:pPr>
      <w:r>
        <w:rPr>
          <w:b/>
        </w:rPr>
        <w:t>Professional indemnity insurance.</w:t>
      </w:r>
      <w:r>
        <w:t xml:space="preserve"> We will maintain PI insurance at no less than the level set out in Clause 5, provided such insurance remains available on commercially reasonable terms.</w:t>
      </w:r>
    </w:p>
    <w:p>
      <w:pPr>
        <w:pStyle w:val="ListNumber"/>
      </w:pPr>
      <w:r>
        <w:rPr>
          <w:b/>
        </w:rPr>
        <w:t>Liability cap.</w:t>
      </w:r>
      <w:r>
        <w:t xml:space="preserve"> Our total liability in connection with this appointment, whether in contract, tort (including negligence), breach of statutory duty or otherwise, will not exceed ten (10) times our aggregate fee for the Services. Nothing in this appointment limits liability for death or personal injury caused by our negligence or for fraudulent misrepresentation.</w:t>
      </w:r>
    </w:p>
    <w:p>
      <w:pPr>
        <w:pStyle w:val="ListNumber"/>
      </w:pPr>
      <w:r>
        <w:rPr>
          <w:b/>
        </w:rPr>
        <w:t>Net contribution.</w:t>
      </w:r>
      <w:r>
        <w:t xml:space="preserve"> Without prejudice to Clause 5, our liability is further limited to the share that it would be just and equitable for us to pay, assuming other consultants, contractors and sub-contractors with concurrent liability have given undertakings on terms no less onerous than Clause 1 and have paid their just-and-equitable share.</w:t>
      </w:r>
    </w:p>
    <w:p>
      <w:pPr>
        <w:pStyle w:val="ListNumber"/>
      </w:pPr>
      <w:r>
        <w:rPr>
          <w:b/>
        </w:rPr>
        <w:t>Indemnity over the cap.</w:t>
      </w:r>
      <w:r>
        <w:t xml:space="preserve"> If claims result in our paying amounts in excess of the Clause 5 cap, you will indemnify us in respect of all amounts above the cap.</w:t>
      </w:r>
    </w:p>
    <w:p>
      <w:pPr>
        <w:pStyle w:val="ListNumber"/>
      </w:pPr>
      <w:r>
        <w:rPr>
          <w:b/>
        </w:rPr>
        <w:t>No claims against individuals.</w:t>
      </w:r>
      <w:r>
        <w:t xml:space="preserve"> Save for death or personal injury, you will look only to Scotch Partners LLP (and not to any individual employee) for redress, and agree not to pursue claims against individual employees arising from their performance of the Services.</w:t>
      </w:r>
    </w:p>
    <w:p>
      <w:pPr>
        <w:pStyle w:val="ListNumber"/>
      </w:pPr>
      <w:r>
        <w:rPr>
          <w:b/>
        </w:rPr>
        <w:t>Intellectual property.</w:t>
      </w:r>
      <w:r>
        <w:t xml:space="preserve"> Copyright in all drawings, designs, documents and materials we prepare for you remains vested in us, subject to a licence to you to use them for the purposes for which they were prepared, provided you have paid our fees in full. We are not liable for use of our intellectual property for any other purpose.</w:t>
      </w:r>
    </w:p>
    <w:p>
      <w:pPr>
        <w:pStyle w:val="ListNumber"/>
      </w:pPr>
      <w:r>
        <w:rPr>
          <w:b/>
        </w:rPr>
        <w:t>Termination — insolvency.</w:t>
      </w:r>
      <w:r>
        <w:t xml:space="preserve"> Either party may terminate immediately by written notice if the other becomes insolvent, has a bankruptcy order made against it, makes an arrangement with creditors, enters liquidation, or has insolvency proceedings commenced against it.</w:t>
      </w:r>
    </w:p>
    <w:p>
      <w:pPr>
        <w:pStyle w:val="ListNumber"/>
      </w:pPr>
      <w:r>
        <w:rPr>
          <w:b/>
        </w:rPr>
        <w:t>Termination — default.</w:t>
      </w:r>
      <w:r>
        <w:t xml:space="preserve"> Either party may terminate by written notice if the other substantially fails to perform its obligations, provided the terminating party has given fourteen (14) days' written notice (by recorded delivery) specifying the default with reference to this clause, and the default has not been remedied in that period.</w:t>
      </w:r>
    </w:p>
    <w:p>
      <w:pPr>
        <w:pStyle w:val="ListNumber"/>
      </w:pPr>
      <w:r>
        <w:rPr>
          <w:b/>
        </w:rPr>
        <w:t>Termination payment.</w:t>
      </w:r>
      <w:r>
        <w:t xml:space="preserve"> On termination for any cause, we are entitled to be paid for all Services performed up to the date of termination and not yet paid for.</w:t>
      </w:r>
    </w:p>
    <w:p>
      <w:pPr>
        <w:pStyle w:val="ListNumber"/>
      </w:pPr>
      <w:r>
        <w:rPr>
          <w:b/>
        </w:rPr>
        <w:t>Personal appointment; third-party rights.</w:t>
      </w:r>
      <w:r>
        <w:t xml:space="preserve"> This appointment is personal to you and non-assignable. It does not confer rights on any third party under the Contracts (Rights of Third Parties) Act 1999 or otherwise. Collateral warranties to third parties are excluded.</w:t>
      </w:r>
    </w:p>
    <w:p>
      <w:pPr>
        <w:pStyle w:val="ListNumber"/>
      </w:pPr>
      <w:r>
        <w:rPr>
          <w:b/>
        </w:rPr>
        <w:t>Dispute resolution; governing law.</w:t>
      </w:r>
      <w:r>
        <w:t xml:space="preserve"> Any dispute arising under this appointment that cannot be settled amicably may be referred by either party to adjudication under the Construction Industry Council Model Adjudication Procedure (3rd Edition). The parties will agree a sole adjudicator, failing which the CIC will nominate one. The adjudication will be conducted in English under the laws of England and Wales. This appointment is governed by and construed in accordance with the laws of England and Wales.</w:t>
      </w:r>
    </w:p>
    <w:p>
      <w:pPr>
        <w:pStyle w:val="ListNumber"/>
      </w:pPr>
      <w:r>
        <w:rPr>
          <w:b/>
        </w:rPr>
        <w:t>Entire agreement.</w:t>
      </w:r>
      <w:r>
        <w:t xml:space="preserve"> This appointment represents the entire agreement and understanding between the parties relating to its subject matter. You acknowledge that you have had the opportunity to negotiate its terms.</w:t>
      </w:r>
    </w:p>
    <w:p>
      <w:pPr>
        <w:pStyle w:val="ListNumber"/>
      </w:pPr>
      <w:r>
        <w:rPr>
          <w:b/>
        </w:rPr>
        <w:t>Bespoke contracts and warranties.</w:t>
      </w:r>
      <w:r>
        <w:t xml:space="preserve"> Bespoke contracts and collateral warranties are excluded on projects below a minimum fee value of £10,000. Review and completion of such documents will be charged at Partner fee rates, and legal fees may apply.</w:t>
      </w:r>
    </w:p>
    <w:p>
      <w:r>
        <w:br w:type="page"/>
      </w:r>
    </w:p>
    <w:p>
      <w:pPr>
        <w:pStyle w:val="Heading1"/>
      </w:pPr>
      <w:r>
        <w:t>Contact</w:t>
      </w:r>
    </w:p>
    <w:p>
      <w:r>
        <w:t>Scotch Partners LLP Building Services Engineering | Sustainability | Acoustics</w:t>
      </w:r>
    </w:p>
    <w:p>
      <w:r>
        <w:t>16 St John's Lane London EC1M 4BS</w:t>
      </w:r>
    </w:p>
    <w:p>
      <w:r>
        <w:t>+44 (0) 203 544 5400 www.scotchpartners.com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